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D5" w:rsidRDefault="00C359D5" w:rsidP="00513BAA">
      <w:pPr>
        <w:jc w:val="both"/>
        <w:rPr>
          <w:rFonts w:ascii="Times New Roman" w:hAnsi="Times New Roman" w:cs="Times New Roman"/>
          <w:sz w:val="28"/>
          <w:szCs w:val="28"/>
        </w:rPr>
      </w:pPr>
      <w:r>
        <w:rPr>
          <w:rFonts w:ascii="Times New Roman" w:hAnsi="Times New Roman" w:cs="Times New Roman"/>
          <w:sz w:val="28"/>
          <w:szCs w:val="28"/>
        </w:rPr>
        <w:t xml:space="preserve">To </w:t>
      </w:r>
      <w:proofErr w:type="gramStart"/>
      <w:r>
        <w:rPr>
          <w:rFonts w:ascii="Times New Roman" w:hAnsi="Times New Roman" w:cs="Times New Roman"/>
          <w:sz w:val="28"/>
          <w:szCs w:val="28"/>
        </w:rPr>
        <w:t>Autumn :</w:t>
      </w:r>
      <w:proofErr w:type="gramEnd"/>
      <w:r>
        <w:rPr>
          <w:rFonts w:ascii="Times New Roman" w:hAnsi="Times New Roman" w:cs="Times New Roman"/>
          <w:sz w:val="28"/>
          <w:szCs w:val="28"/>
        </w:rPr>
        <w:t xml:space="preserve"> An Allegory of Artistic Creation</w:t>
      </w:r>
    </w:p>
    <w:p w:rsidR="00C359D5" w:rsidRDefault="00C359D5" w:rsidP="00513BAA">
      <w:pPr>
        <w:jc w:val="both"/>
        <w:rPr>
          <w:rFonts w:ascii="Times New Roman" w:hAnsi="Times New Roman" w:cs="Times New Roman"/>
          <w:sz w:val="28"/>
          <w:szCs w:val="28"/>
        </w:rPr>
      </w:pPr>
    </w:p>
    <w:p w:rsidR="001B307F" w:rsidRPr="00513BAA" w:rsidRDefault="00733B15" w:rsidP="00513BAA">
      <w:pPr>
        <w:jc w:val="both"/>
        <w:rPr>
          <w:rFonts w:ascii="Times New Roman" w:hAnsi="Times New Roman" w:cs="Times New Roman"/>
          <w:sz w:val="28"/>
          <w:szCs w:val="28"/>
        </w:rPr>
      </w:pPr>
      <w:r w:rsidRPr="00513BAA">
        <w:rPr>
          <w:rFonts w:ascii="Times New Roman" w:hAnsi="Times New Roman" w:cs="Times New Roman"/>
          <w:sz w:val="28"/>
          <w:szCs w:val="28"/>
        </w:rPr>
        <w:t xml:space="preserve">Scholars have noted a number of literary influences on "To Autumn", from </w:t>
      </w:r>
      <w:hyperlink r:id="rId4" w:tooltip="Virgil" w:history="1">
        <w:r w:rsidRPr="00364319">
          <w:rPr>
            <w:rStyle w:val="Hyperlink"/>
            <w:rFonts w:ascii="Times New Roman" w:hAnsi="Times New Roman" w:cs="Times New Roman"/>
            <w:color w:val="auto"/>
            <w:sz w:val="28"/>
            <w:szCs w:val="28"/>
            <w:u w:val="none"/>
          </w:rPr>
          <w:t>Virgil</w:t>
        </w:r>
      </w:hyperlink>
      <w:r w:rsidRPr="00364319">
        <w:rPr>
          <w:rFonts w:ascii="Times New Roman" w:hAnsi="Times New Roman" w:cs="Times New Roman"/>
          <w:sz w:val="28"/>
          <w:szCs w:val="28"/>
        </w:rPr>
        <w:t xml:space="preserve">'s </w:t>
      </w:r>
      <w:hyperlink r:id="rId5" w:tooltip="Georgics" w:history="1">
        <w:r w:rsidRPr="00364319">
          <w:rPr>
            <w:rStyle w:val="Hyperlink"/>
            <w:rFonts w:ascii="Times New Roman" w:hAnsi="Times New Roman" w:cs="Times New Roman"/>
            <w:i/>
            <w:iCs/>
            <w:color w:val="auto"/>
            <w:sz w:val="28"/>
            <w:szCs w:val="28"/>
            <w:u w:val="none"/>
          </w:rPr>
          <w:t>Georgics</w:t>
        </w:r>
      </w:hyperlink>
      <w:r w:rsidRPr="00513BAA">
        <w:rPr>
          <w:rFonts w:ascii="Times New Roman" w:hAnsi="Times New Roman" w:cs="Times New Roman"/>
          <w:sz w:val="28"/>
          <w:szCs w:val="28"/>
        </w:rPr>
        <w:t xml:space="preserve">, to </w:t>
      </w:r>
      <w:hyperlink r:id="rId6" w:tooltip="Edmund Spenser" w:history="1">
        <w:r w:rsidRPr="00513BAA">
          <w:rPr>
            <w:rStyle w:val="Hyperlink"/>
            <w:rFonts w:ascii="Times New Roman" w:hAnsi="Times New Roman" w:cs="Times New Roman"/>
            <w:color w:val="auto"/>
            <w:sz w:val="28"/>
            <w:szCs w:val="28"/>
          </w:rPr>
          <w:t>Edmund Spenser</w:t>
        </w:r>
      </w:hyperlink>
      <w:r w:rsidRPr="00513BAA">
        <w:rPr>
          <w:rFonts w:ascii="Times New Roman" w:hAnsi="Times New Roman" w:cs="Times New Roman"/>
          <w:sz w:val="28"/>
          <w:szCs w:val="28"/>
        </w:rPr>
        <w:t xml:space="preserve">'s "Mutability Cantos", to the language of Thomas Chatterton, to </w:t>
      </w:r>
      <w:hyperlink r:id="rId7" w:tooltip="Samuel Taylor Coleridge" w:history="1">
        <w:r w:rsidRPr="00364319">
          <w:rPr>
            <w:rStyle w:val="Hyperlink"/>
            <w:rFonts w:ascii="Times New Roman" w:hAnsi="Times New Roman" w:cs="Times New Roman"/>
            <w:color w:val="auto"/>
            <w:sz w:val="28"/>
            <w:szCs w:val="28"/>
            <w:u w:val="none"/>
          </w:rPr>
          <w:t>Samuel Taylor Coleridge</w:t>
        </w:r>
      </w:hyperlink>
      <w:r w:rsidRPr="00364319">
        <w:rPr>
          <w:rFonts w:ascii="Times New Roman" w:hAnsi="Times New Roman" w:cs="Times New Roman"/>
          <w:sz w:val="28"/>
          <w:szCs w:val="28"/>
        </w:rPr>
        <w:t>'s</w:t>
      </w:r>
      <w:r w:rsidRPr="00513BAA">
        <w:rPr>
          <w:rFonts w:ascii="Times New Roman" w:hAnsi="Times New Roman" w:cs="Times New Roman"/>
          <w:sz w:val="28"/>
          <w:szCs w:val="28"/>
        </w:rPr>
        <w:t xml:space="preserve"> </w:t>
      </w:r>
      <w:r w:rsidRPr="00364319">
        <w:rPr>
          <w:rFonts w:ascii="Times New Roman" w:hAnsi="Times New Roman" w:cs="Times New Roman"/>
          <w:sz w:val="28"/>
          <w:szCs w:val="28"/>
        </w:rPr>
        <w:t>"</w:t>
      </w:r>
      <w:hyperlink r:id="rId8" w:tooltip="Frost at Midnight" w:history="1">
        <w:r w:rsidRPr="00364319">
          <w:rPr>
            <w:rStyle w:val="Hyperlink"/>
            <w:rFonts w:ascii="Times New Roman" w:hAnsi="Times New Roman" w:cs="Times New Roman"/>
            <w:color w:val="auto"/>
            <w:sz w:val="28"/>
            <w:szCs w:val="28"/>
            <w:u w:val="none"/>
          </w:rPr>
          <w:t>Frost at Midnight</w:t>
        </w:r>
      </w:hyperlink>
      <w:r w:rsidRPr="00513BAA">
        <w:rPr>
          <w:rFonts w:ascii="Times New Roman" w:hAnsi="Times New Roman" w:cs="Times New Roman"/>
          <w:sz w:val="28"/>
          <w:szCs w:val="28"/>
        </w:rPr>
        <w:t xml:space="preserve">", to an essay on autumn by Leigh Hunt, which Keats had recently read. </w:t>
      </w:r>
    </w:p>
    <w:p w:rsidR="00733B15" w:rsidRPr="00513BAA" w:rsidRDefault="00733B15" w:rsidP="00513BAA">
      <w:pPr>
        <w:pStyle w:val="NormalWeb"/>
        <w:jc w:val="both"/>
        <w:rPr>
          <w:sz w:val="28"/>
          <w:szCs w:val="28"/>
        </w:rPr>
      </w:pPr>
      <w:r w:rsidRPr="00513BAA">
        <w:rPr>
          <w:sz w:val="28"/>
          <w:szCs w:val="28"/>
        </w:rPr>
        <w:t>"To Autumn" is thematically connected to other odes that Keats wrote in 1819. For example, in his "Ode to Melancholy" a major theme is the acceptance of the process of life. When this theme appears later in "To Autumn", however, it is with a difference. This time the figure of the poet disappears, and there is no exhortation of an imaginary reader. There are no open conflicts, and "dramatic debate, protest, and qualification are absent". In process there is a harmony between the finality of death and hints of renewal of life in the cycle of the seasons, paralleled by the renewal of a single day.</w:t>
      </w:r>
      <w:r w:rsidR="002A17CD" w:rsidRPr="00513BAA">
        <w:rPr>
          <w:sz w:val="28"/>
          <w:szCs w:val="28"/>
        </w:rPr>
        <w:t xml:space="preserve"> </w:t>
      </w:r>
    </w:p>
    <w:p w:rsidR="00733B15" w:rsidRPr="00513BAA" w:rsidRDefault="00733B15" w:rsidP="00513BAA">
      <w:pPr>
        <w:pStyle w:val="NormalWeb"/>
        <w:jc w:val="both"/>
        <w:rPr>
          <w:sz w:val="28"/>
          <w:szCs w:val="28"/>
        </w:rPr>
      </w:pPr>
      <w:r w:rsidRPr="00513BAA">
        <w:rPr>
          <w:sz w:val="28"/>
          <w:szCs w:val="28"/>
        </w:rPr>
        <w:t>Critics have tended to emphasize different aspects of the process. Some have focused on renewal</w:t>
      </w:r>
      <w:r w:rsidRPr="00364319">
        <w:rPr>
          <w:sz w:val="28"/>
          <w:szCs w:val="28"/>
        </w:rPr>
        <w:t xml:space="preserve">; </w:t>
      </w:r>
      <w:hyperlink r:id="rId9" w:tooltip="Walter Jackson Bate" w:history="1">
        <w:r w:rsidRPr="00364319">
          <w:rPr>
            <w:rStyle w:val="Hyperlink"/>
            <w:color w:val="auto"/>
            <w:sz w:val="28"/>
            <w:szCs w:val="28"/>
            <w:u w:val="none"/>
          </w:rPr>
          <w:t>Walter Jackson Bate</w:t>
        </w:r>
      </w:hyperlink>
      <w:r w:rsidRPr="00513BAA">
        <w:rPr>
          <w:sz w:val="28"/>
          <w:szCs w:val="28"/>
        </w:rPr>
        <w:t xml:space="preserve"> points to the theme of each stanza including "</w:t>
      </w:r>
      <w:proofErr w:type="gramStart"/>
      <w:r w:rsidRPr="00513BAA">
        <w:rPr>
          <w:sz w:val="28"/>
          <w:szCs w:val="28"/>
        </w:rPr>
        <w:t>its</w:t>
      </w:r>
      <w:proofErr w:type="gramEnd"/>
      <w:r w:rsidRPr="00513BAA">
        <w:rPr>
          <w:sz w:val="28"/>
          <w:szCs w:val="28"/>
        </w:rPr>
        <w:t xml:space="preserve"> contrary" idea, here death implying, though only indirectly, the renewal of life.</w:t>
      </w:r>
      <w:r w:rsidR="002A17CD" w:rsidRPr="00513BAA">
        <w:rPr>
          <w:sz w:val="28"/>
          <w:szCs w:val="28"/>
        </w:rPr>
        <w:t xml:space="preserve"> </w:t>
      </w:r>
      <w:r w:rsidRPr="00513BAA">
        <w:rPr>
          <w:sz w:val="28"/>
          <w:szCs w:val="28"/>
        </w:rPr>
        <w:t>Also, noted by both Bate and Jennifer Wagner, the structure of the verse reinforces the sense of something to come; the placing of the couplet before the end of each stanza creates a feeling of suspension, highlighting the theme of c</w:t>
      </w:r>
    </w:p>
    <w:p w:rsidR="00733B15" w:rsidRPr="00513BAA" w:rsidRDefault="00733B15" w:rsidP="00513BAA">
      <w:pPr>
        <w:pStyle w:val="NormalWeb"/>
        <w:jc w:val="both"/>
        <w:rPr>
          <w:sz w:val="28"/>
          <w:szCs w:val="28"/>
        </w:rPr>
      </w:pPr>
      <w:r w:rsidRPr="00513BAA">
        <w:rPr>
          <w:sz w:val="28"/>
          <w:szCs w:val="28"/>
        </w:rPr>
        <w:t xml:space="preserve">Others, like </w:t>
      </w:r>
      <w:hyperlink r:id="rId10" w:tooltip="Harold Bloom" w:history="1">
        <w:r w:rsidRPr="00364319">
          <w:rPr>
            <w:rStyle w:val="Hyperlink"/>
            <w:color w:val="auto"/>
            <w:sz w:val="28"/>
            <w:szCs w:val="28"/>
            <w:u w:val="none"/>
          </w:rPr>
          <w:t>Harold Bloom</w:t>
        </w:r>
      </w:hyperlink>
      <w:r w:rsidRPr="00513BAA">
        <w:rPr>
          <w:sz w:val="28"/>
          <w:szCs w:val="28"/>
        </w:rPr>
        <w:t>, have emphasized the "exhausted landscape", the completion, the finality of death, although "</w:t>
      </w:r>
      <w:proofErr w:type="gramStart"/>
      <w:r w:rsidRPr="00513BAA">
        <w:rPr>
          <w:sz w:val="28"/>
          <w:szCs w:val="28"/>
        </w:rPr>
        <w:t>Winter</w:t>
      </w:r>
      <w:proofErr w:type="gramEnd"/>
      <w:r w:rsidRPr="00513BAA">
        <w:rPr>
          <w:sz w:val="28"/>
          <w:szCs w:val="28"/>
        </w:rPr>
        <w:t xml:space="preserve"> descends here as a man might hope to die, with a natural sweetness". If death in itself is final, here it comes with </w:t>
      </w:r>
      <w:proofErr w:type="gramStart"/>
      <w:r w:rsidRPr="00513BAA">
        <w:rPr>
          <w:sz w:val="28"/>
          <w:szCs w:val="28"/>
        </w:rPr>
        <w:t>a lightness</w:t>
      </w:r>
      <w:proofErr w:type="gramEnd"/>
      <w:r w:rsidRPr="00513BAA">
        <w:rPr>
          <w:sz w:val="28"/>
          <w:szCs w:val="28"/>
        </w:rPr>
        <w:t>, a softness, also pointing to "an acceptance of process beyond the possibility of grief."</w:t>
      </w:r>
      <w:r w:rsidR="002A17CD" w:rsidRPr="00513BAA">
        <w:rPr>
          <w:sz w:val="28"/>
          <w:szCs w:val="28"/>
        </w:rPr>
        <w:t xml:space="preserve"> </w:t>
      </w:r>
      <w:r w:rsidRPr="00513BAA">
        <w:rPr>
          <w:sz w:val="28"/>
          <w:szCs w:val="28"/>
        </w:rPr>
        <w:t>The progress of growth is no longer necessary; maturation is complete, and life and death are in harmony. The rich description of the cycle of the seasons enables the reader to feel a belonging "to something larger than the self", as James O'Rourke expresses it, but the cycle comes to an end each year, analogous to the ending of single life. O'Rourke suggests that something of a fear of that ending is subtly implied at the end of the poem,</w:t>
      </w:r>
      <w:hyperlink r:id="rId11" w:anchor="cite_note-26" w:history="1">
        <w:r w:rsidRPr="00513BAA">
          <w:rPr>
            <w:sz w:val="28"/>
            <w:szCs w:val="28"/>
            <w:u w:val="single"/>
            <w:vertAlign w:val="superscript"/>
          </w:rPr>
          <w:t>]</w:t>
        </w:r>
      </w:hyperlink>
      <w:r w:rsidRPr="00513BAA">
        <w:rPr>
          <w:sz w:val="28"/>
          <w:szCs w:val="28"/>
        </w:rPr>
        <w:t xml:space="preserve"> although, unlike the other great odes, in this poem the person of the poet is entirely submerged, so there is at most a faint hint of Keats's own possible fear.</w:t>
      </w:r>
    </w:p>
    <w:p w:rsidR="00733B15" w:rsidRPr="00364319" w:rsidRDefault="00733B15" w:rsidP="00513BAA">
      <w:pPr>
        <w:pStyle w:val="NormalWeb"/>
        <w:jc w:val="both"/>
        <w:rPr>
          <w:sz w:val="28"/>
          <w:szCs w:val="28"/>
          <w:u w:val="single"/>
        </w:rPr>
      </w:pPr>
      <w:r w:rsidRPr="00513BAA">
        <w:rPr>
          <w:sz w:val="28"/>
          <w:szCs w:val="28"/>
        </w:rPr>
        <w:t xml:space="preserve">According to </w:t>
      </w:r>
      <w:hyperlink r:id="rId12" w:tooltip="Helen Vendler" w:history="1">
        <w:r w:rsidRPr="00364319">
          <w:rPr>
            <w:rStyle w:val="Hyperlink"/>
            <w:color w:val="auto"/>
            <w:sz w:val="28"/>
            <w:szCs w:val="28"/>
            <w:u w:val="none"/>
          </w:rPr>
          <w:t xml:space="preserve">Helen </w:t>
        </w:r>
        <w:proofErr w:type="spellStart"/>
        <w:r w:rsidRPr="00364319">
          <w:rPr>
            <w:rStyle w:val="Hyperlink"/>
            <w:color w:val="auto"/>
            <w:sz w:val="28"/>
            <w:szCs w:val="28"/>
            <w:u w:val="none"/>
          </w:rPr>
          <w:t>Vendler</w:t>
        </w:r>
        <w:proofErr w:type="spellEnd"/>
      </w:hyperlink>
      <w:r w:rsidRPr="00513BAA">
        <w:rPr>
          <w:sz w:val="28"/>
          <w:szCs w:val="28"/>
        </w:rPr>
        <w:t xml:space="preserve">, "To Autumn" may be seen as an allegory of artistic creation. As the farmer processes the fruits of the soil into what sustains the human </w:t>
      </w:r>
      <w:r w:rsidRPr="00513BAA">
        <w:rPr>
          <w:sz w:val="28"/>
          <w:szCs w:val="28"/>
        </w:rPr>
        <w:lastRenderedPageBreak/>
        <w:t xml:space="preserve">body, so the artist processes the experience of life into a symbolic structure that may sustain the human spirit. This process involves an element of self-sacrifice by the artist, analogous to the living </w:t>
      </w:r>
      <w:proofErr w:type="gramStart"/>
      <w:r w:rsidRPr="00513BAA">
        <w:rPr>
          <w:sz w:val="28"/>
          <w:szCs w:val="28"/>
        </w:rPr>
        <w:t>grain's</w:t>
      </w:r>
      <w:proofErr w:type="gramEnd"/>
      <w:r w:rsidRPr="00513BAA">
        <w:rPr>
          <w:sz w:val="28"/>
          <w:szCs w:val="28"/>
        </w:rPr>
        <w:t xml:space="preserve"> being sacrificed for human consumption. In "To Autumn", as a result of this process, the "rhythms" of the harvesting "artist-goddess" "permeate the whole world until all visual, tactile, and kinetic presence is transubstantiated into Apollonian m</w:t>
      </w:r>
      <w:r w:rsidRPr="00364319">
        <w:rPr>
          <w:sz w:val="28"/>
          <w:szCs w:val="28"/>
          <w:u w:val="single"/>
        </w:rPr>
        <w:t>usic for the ear," the sounds of the poem itself.</w:t>
      </w:r>
      <w:r w:rsidR="002A17CD" w:rsidRPr="00364319">
        <w:rPr>
          <w:sz w:val="28"/>
          <w:szCs w:val="28"/>
          <w:u w:val="single"/>
        </w:rPr>
        <w:t xml:space="preserve"> </w:t>
      </w:r>
    </w:p>
    <w:p w:rsidR="00733B15" w:rsidRPr="00513BAA" w:rsidRDefault="00733B15" w:rsidP="00513BAA">
      <w:pPr>
        <w:pStyle w:val="NormalWeb"/>
        <w:jc w:val="both"/>
        <w:rPr>
          <w:sz w:val="28"/>
          <w:szCs w:val="28"/>
        </w:rPr>
      </w:pPr>
      <w:r w:rsidRPr="00364319">
        <w:rPr>
          <w:sz w:val="28"/>
          <w:szCs w:val="28"/>
        </w:rPr>
        <w:t>In a 1979 essay,</w:t>
      </w:r>
      <w:r w:rsidRPr="00364319">
        <w:rPr>
          <w:sz w:val="28"/>
          <w:szCs w:val="28"/>
          <w:u w:val="single"/>
        </w:rPr>
        <w:t xml:space="preserve"> </w:t>
      </w:r>
      <w:hyperlink r:id="rId13" w:tooltip="Jerome McGann" w:history="1">
        <w:r w:rsidRPr="00364319">
          <w:rPr>
            <w:rStyle w:val="Hyperlink"/>
            <w:color w:val="auto"/>
            <w:sz w:val="28"/>
            <w:szCs w:val="28"/>
            <w:u w:val="none"/>
          </w:rPr>
          <w:t xml:space="preserve">Jerome </w:t>
        </w:r>
        <w:proofErr w:type="spellStart"/>
        <w:r w:rsidRPr="00364319">
          <w:rPr>
            <w:rStyle w:val="Hyperlink"/>
            <w:color w:val="auto"/>
            <w:sz w:val="28"/>
            <w:szCs w:val="28"/>
            <w:u w:val="none"/>
          </w:rPr>
          <w:t>McGann</w:t>
        </w:r>
        <w:proofErr w:type="spellEnd"/>
      </w:hyperlink>
      <w:r w:rsidRPr="00513BAA">
        <w:rPr>
          <w:sz w:val="28"/>
          <w:szCs w:val="28"/>
        </w:rPr>
        <w:t xml:space="preserve"> argued that while the poem was indirectly influenced by historical events, Keats had deliberately ignored the political landscape of 1819.</w:t>
      </w:r>
      <w:r w:rsidR="002A17CD" w:rsidRPr="00513BAA">
        <w:rPr>
          <w:sz w:val="28"/>
          <w:szCs w:val="28"/>
        </w:rPr>
        <w:t xml:space="preserve"> </w:t>
      </w:r>
      <w:r w:rsidRPr="00513BAA">
        <w:rPr>
          <w:sz w:val="28"/>
          <w:szCs w:val="28"/>
        </w:rPr>
        <w:t xml:space="preserve">Countering this view, Andrew Bennett, Nicholas Roe and others focused on what they believed were political allusions actually present in the poem, Roe arguing for a direct connection to the </w:t>
      </w:r>
      <w:hyperlink r:id="rId14" w:tooltip="Peterloo Massacre" w:history="1">
        <w:proofErr w:type="spellStart"/>
        <w:r w:rsidRPr="00364319">
          <w:rPr>
            <w:rStyle w:val="Hyperlink"/>
            <w:color w:val="auto"/>
            <w:sz w:val="28"/>
            <w:szCs w:val="28"/>
            <w:u w:val="none"/>
          </w:rPr>
          <w:t>Peterloo</w:t>
        </w:r>
        <w:proofErr w:type="spellEnd"/>
        <w:r w:rsidRPr="00364319">
          <w:rPr>
            <w:rStyle w:val="Hyperlink"/>
            <w:color w:val="auto"/>
            <w:sz w:val="28"/>
            <w:szCs w:val="28"/>
            <w:u w:val="none"/>
          </w:rPr>
          <w:t xml:space="preserve"> Massacre</w:t>
        </w:r>
      </w:hyperlink>
      <w:r w:rsidRPr="00513BAA">
        <w:rPr>
          <w:sz w:val="28"/>
          <w:szCs w:val="28"/>
        </w:rPr>
        <w:t xml:space="preserve"> of 1819.</w:t>
      </w:r>
      <w:r w:rsidR="002A17CD" w:rsidRPr="00513BAA">
        <w:rPr>
          <w:sz w:val="28"/>
          <w:szCs w:val="28"/>
        </w:rPr>
        <w:t xml:space="preserve"> </w:t>
      </w:r>
      <w:r w:rsidRPr="00513BAA">
        <w:rPr>
          <w:sz w:val="28"/>
          <w:szCs w:val="28"/>
        </w:rPr>
        <w:t xml:space="preserve">Later, Paul Fry argued against </w:t>
      </w:r>
      <w:proofErr w:type="spellStart"/>
      <w:r w:rsidRPr="00513BAA">
        <w:rPr>
          <w:sz w:val="28"/>
          <w:szCs w:val="28"/>
        </w:rPr>
        <w:t>McGann's</w:t>
      </w:r>
      <w:proofErr w:type="spellEnd"/>
      <w:r w:rsidRPr="00513BAA">
        <w:rPr>
          <w:sz w:val="28"/>
          <w:szCs w:val="28"/>
        </w:rPr>
        <w:t xml:space="preserve"> stance when he pointed out, "It scarcely seems pertinent to say that 'To Autumn' is therefore an evasion of social violence when it is so clearly an encounter with death itself [...] it is not a politically encoded escape from history reflecting the coerced betrayal [...] of its author's radicalism. </w:t>
      </w:r>
      <w:proofErr w:type="spellStart"/>
      <w:r w:rsidRPr="00513BAA">
        <w:rPr>
          <w:sz w:val="28"/>
          <w:szCs w:val="28"/>
        </w:rPr>
        <w:t>McGann</w:t>
      </w:r>
      <w:proofErr w:type="spellEnd"/>
      <w:r w:rsidRPr="00513BAA">
        <w:rPr>
          <w:sz w:val="28"/>
          <w:szCs w:val="28"/>
        </w:rPr>
        <w:t xml:space="preserve"> thinks to rescue Keats from the imputation of political naïveté by saying that he was a radical browbeaten into quietism".</w:t>
      </w:r>
      <w:hyperlink r:id="rId15" w:anchor="cite_note-30" w:history="1">
        <w:r w:rsidRPr="00513BAA">
          <w:rPr>
            <w:sz w:val="28"/>
            <w:szCs w:val="28"/>
            <w:u w:val="single"/>
            <w:vertAlign w:val="superscript"/>
          </w:rPr>
          <w:t>[30]</w:t>
        </w:r>
      </w:hyperlink>
    </w:p>
    <w:p w:rsidR="00733B15" w:rsidRPr="00513BAA" w:rsidRDefault="00733B15" w:rsidP="00513BAA">
      <w:pPr>
        <w:pStyle w:val="NormalWeb"/>
        <w:jc w:val="both"/>
        <w:rPr>
          <w:sz w:val="28"/>
          <w:szCs w:val="28"/>
        </w:rPr>
      </w:pPr>
      <w:r w:rsidRPr="00513BAA">
        <w:rPr>
          <w:sz w:val="28"/>
          <w:szCs w:val="28"/>
        </w:rPr>
        <w:t xml:space="preserve">In his 1999 study of the effect on British literature of the diseases and climates of the colonies, Alan </w:t>
      </w:r>
      <w:proofErr w:type="spellStart"/>
      <w:r w:rsidRPr="00513BAA">
        <w:rPr>
          <w:sz w:val="28"/>
          <w:szCs w:val="28"/>
        </w:rPr>
        <w:t>Bewell</w:t>
      </w:r>
      <w:proofErr w:type="spellEnd"/>
      <w:r w:rsidRPr="00513BAA">
        <w:rPr>
          <w:sz w:val="28"/>
          <w:szCs w:val="28"/>
        </w:rPr>
        <w:t xml:space="preserve"> read "the landscape of 'To Autumn'" as "a kind of biomedical allegory of the coming into being of English climatic space out of its dangerous geographical alternatives."</w:t>
      </w:r>
      <w:hyperlink r:id="rId16" w:anchor="cite_note-31" w:history="1">
        <w:r w:rsidRPr="00513BAA">
          <w:rPr>
            <w:sz w:val="28"/>
            <w:szCs w:val="28"/>
            <w:u w:val="single"/>
            <w:vertAlign w:val="superscript"/>
          </w:rPr>
          <w:t>[31]</w:t>
        </w:r>
      </w:hyperlink>
      <w:r w:rsidRPr="00513BAA">
        <w:rPr>
          <w:sz w:val="28"/>
          <w:szCs w:val="28"/>
        </w:rPr>
        <w:t xml:space="preserve"> Britain's colonial reach over the previous century and a half had exposed the mother country to foreign diseases and awareness of the dangers of extreme tropical climates. Keats, with medical training</w:t>
      </w:r>
      <w:proofErr w:type="gramStart"/>
      <w:r w:rsidRPr="00513BAA">
        <w:rPr>
          <w:sz w:val="28"/>
          <w:szCs w:val="28"/>
        </w:rPr>
        <w:t>,</w:t>
      </w:r>
      <w:proofErr w:type="gramEnd"/>
      <w:r w:rsidR="00A80BDF" w:rsidRPr="00513BAA">
        <w:rPr>
          <w:sz w:val="28"/>
          <w:szCs w:val="28"/>
          <w:vertAlign w:val="superscript"/>
        </w:rPr>
        <w:fldChar w:fldCharType="begin"/>
      </w:r>
      <w:r w:rsidRPr="00513BAA">
        <w:rPr>
          <w:sz w:val="28"/>
          <w:szCs w:val="28"/>
          <w:vertAlign w:val="superscript"/>
        </w:rPr>
        <w:instrText xml:space="preserve"> HYPERLINK "http://en.wikipedia.org/wiki/To_Autumn" \l "cite_note-32" </w:instrText>
      </w:r>
      <w:r w:rsidR="00A80BDF" w:rsidRPr="00513BAA">
        <w:rPr>
          <w:sz w:val="28"/>
          <w:szCs w:val="28"/>
          <w:vertAlign w:val="superscript"/>
        </w:rPr>
        <w:fldChar w:fldCharType="separate"/>
      </w:r>
      <w:r w:rsidRPr="00513BAA">
        <w:rPr>
          <w:sz w:val="28"/>
          <w:szCs w:val="28"/>
          <w:u w:val="single"/>
          <w:vertAlign w:val="superscript"/>
        </w:rPr>
        <w:t>[32]</w:t>
      </w:r>
      <w:r w:rsidR="00A80BDF" w:rsidRPr="00513BAA">
        <w:rPr>
          <w:sz w:val="28"/>
          <w:szCs w:val="28"/>
          <w:vertAlign w:val="superscript"/>
        </w:rPr>
        <w:fldChar w:fldCharType="end"/>
      </w:r>
      <w:r w:rsidRPr="00513BAA">
        <w:rPr>
          <w:sz w:val="28"/>
          <w:szCs w:val="28"/>
        </w:rPr>
        <w:t xml:space="preserve"> having suffered chronic illness himself,</w:t>
      </w:r>
      <w:hyperlink r:id="rId17" w:anchor="cite_note-33" w:history="1">
        <w:r w:rsidRPr="00513BAA">
          <w:rPr>
            <w:sz w:val="28"/>
            <w:szCs w:val="28"/>
            <w:u w:val="single"/>
            <w:vertAlign w:val="superscript"/>
          </w:rPr>
          <w:t>[33]</w:t>
        </w:r>
      </w:hyperlink>
      <w:r w:rsidRPr="00513BAA">
        <w:rPr>
          <w:sz w:val="28"/>
          <w:szCs w:val="28"/>
        </w:rPr>
        <w:t xml:space="preserve"> and influenced like his contemporaries by "colonial medical discourse",</w:t>
      </w:r>
      <w:hyperlink r:id="rId18" w:anchor="cite_note-34" w:history="1">
        <w:r w:rsidRPr="00513BAA">
          <w:rPr>
            <w:sz w:val="28"/>
            <w:szCs w:val="28"/>
            <w:u w:val="single"/>
            <w:vertAlign w:val="superscript"/>
          </w:rPr>
          <w:t>[34]</w:t>
        </w:r>
      </w:hyperlink>
      <w:r w:rsidRPr="00513BAA">
        <w:rPr>
          <w:sz w:val="28"/>
          <w:szCs w:val="28"/>
        </w:rPr>
        <w:t xml:space="preserve"> was deeply aware of this threa</w:t>
      </w:r>
      <w:r w:rsidR="002A17CD" w:rsidRPr="00513BAA">
        <w:rPr>
          <w:sz w:val="28"/>
          <w:szCs w:val="28"/>
        </w:rPr>
        <w:t>t.</w:t>
      </w:r>
    </w:p>
    <w:p w:rsidR="002A17CD" w:rsidRPr="00513BAA" w:rsidRDefault="002A17CD" w:rsidP="00513BAA">
      <w:pPr>
        <w:pStyle w:val="NormalWeb"/>
        <w:jc w:val="both"/>
        <w:rPr>
          <w:sz w:val="28"/>
          <w:szCs w:val="28"/>
        </w:rPr>
      </w:pPr>
      <w:r w:rsidRPr="00513BAA">
        <w:rPr>
          <w:sz w:val="28"/>
          <w:szCs w:val="28"/>
        </w:rPr>
        <w:t xml:space="preserve">The </w:t>
      </w:r>
      <w:proofErr w:type="spellStart"/>
      <w:r w:rsidRPr="00513BAA">
        <w:rPr>
          <w:b/>
          <w:bCs/>
          <w:sz w:val="28"/>
          <w:szCs w:val="28"/>
        </w:rPr>
        <w:t>Peterloo</w:t>
      </w:r>
      <w:proofErr w:type="spellEnd"/>
      <w:r w:rsidRPr="00513BAA">
        <w:rPr>
          <w:b/>
          <w:bCs/>
          <w:sz w:val="28"/>
          <w:szCs w:val="28"/>
        </w:rPr>
        <w:t xml:space="preserve"> Massacre</w:t>
      </w:r>
      <w:r w:rsidRPr="00513BAA">
        <w:rPr>
          <w:sz w:val="28"/>
          <w:szCs w:val="28"/>
        </w:rPr>
        <w:t xml:space="preserve"> (or </w:t>
      </w:r>
      <w:r w:rsidRPr="00513BAA">
        <w:rPr>
          <w:b/>
          <w:bCs/>
          <w:sz w:val="28"/>
          <w:szCs w:val="28"/>
        </w:rPr>
        <w:t xml:space="preserve">Battle of </w:t>
      </w:r>
      <w:proofErr w:type="spellStart"/>
      <w:r w:rsidRPr="00513BAA">
        <w:rPr>
          <w:b/>
          <w:bCs/>
          <w:sz w:val="28"/>
          <w:szCs w:val="28"/>
        </w:rPr>
        <w:t>Peterloo</w:t>
      </w:r>
      <w:proofErr w:type="spellEnd"/>
      <w:r w:rsidRPr="00513BAA">
        <w:rPr>
          <w:sz w:val="28"/>
          <w:szCs w:val="28"/>
        </w:rPr>
        <w:t xml:space="preserve">) occurred at St Peter's Field, </w:t>
      </w:r>
      <w:hyperlink r:id="rId19" w:tooltip="Manchester" w:history="1">
        <w:r w:rsidRPr="00513BAA">
          <w:rPr>
            <w:rStyle w:val="Hyperlink"/>
            <w:color w:val="auto"/>
            <w:sz w:val="28"/>
            <w:szCs w:val="28"/>
          </w:rPr>
          <w:t>Manchester</w:t>
        </w:r>
      </w:hyperlink>
      <w:r w:rsidRPr="00513BAA">
        <w:rPr>
          <w:sz w:val="28"/>
          <w:szCs w:val="28"/>
        </w:rPr>
        <w:t xml:space="preserve">, England, on 16 August 1819, when cavalry </w:t>
      </w:r>
      <w:hyperlink r:id="rId20" w:tooltip="Charge (warfare)" w:history="1">
        <w:r w:rsidRPr="00513BAA">
          <w:rPr>
            <w:rStyle w:val="Hyperlink"/>
            <w:color w:val="auto"/>
            <w:sz w:val="28"/>
            <w:szCs w:val="28"/>
          </w:rPr>
          <w:t>charged</w:t>
        </w:r>
      </w:hyperlink>
      <w:r w:rsidRPr="00513BAA">
        <w:rPr>
          <w:sz w:val="28"/>
          <w:szCs w:val="28"/>
        </w:rPr>
        <w:t xml:space="preserve"> into a crowd of 60,000–80,000 that had gathered to demand the reform of parliamentary representation.</w:t>
      </w:r>
    </w:p>
    <w:p w:rsidR="002A17CD" w:rsidRPr="00513BAA" w:rsidRDefault="002A17CD" w:rsidP="00513BAA">
      <w:pPr>
        <w:pStyle w:val="NormalWeb"/>
        <w:jc w:val="both"/>
        <w:rPr>
          <w:sz w:val="28"/>
          <w:szCs w:val="28"/>
        </w:rPr>
      </w:pPr>
      <w:r w:rsidRPr="00513BAA">
        <w:rPr>
          <w:sz w:val="28"/>
          <w:szCs w:val="28"/>
        </w:rPr>
        <w:t xml:space="preserve">The end of the </w:t>
      </w:r>
      <w:hyperlink r:id="rId21" w:tooltip="Napoleonic Wars" w:history="1">
        <w:r w:rsidRPr="00364319">
          <w:rPr>
            <w:rStyle w:val="Hyperlink"/>
            <w:color w:val="auto"/>
            <w:sz w:val="28"/>
            <w:szCs w:val="28"/>
            <w:u w:val="none"/>
          </w:rPr>
          <w:t>Napoleonic Wars</w:t>
        </w:r>
      </w:hyperlink>
      <w:r w:rsidRPr="00513BAA">
        <w:rPr>
          <w:sz w:val="28"/>
          <w:szCs w:val="28"/>
        </w:rPr>
        <w:t xml:space="preserve"> in 1815 had resulted in periods of </w:t>
      </w:r>
      <w:hyperlink r:id="rId22" w:tooltip="Famine" w:history="1">
        <w:r w:rsidRPr="00513BAA">
          <w:rPr>
            <w:rStyle w:val="Hyperlink"/>
            <w:color w:val="auto"/>
            <w:sz w:val="28"/>
            <w:szCs w:val="28"/>
          </w:rPr>
          <w:t>famine</w:t>
        </w:r>
      </w:hyperlink>
      <w:r w:rsidRPr="00513BAA">
        <w:rPr>
          <w:sz w:val="28"/>
          <w:szCs w:val="28"/>
        </w:rPr>
        <w:t xml:space="preserve"> and chronic </w:t>
      </w:r>
      <w:hyperlink r:id="rId23" w:tooltip="Unemployment" w:history="1">
        <w:r w:rsidRPr="00513BAA">
          <w:rPr>
            <w:rStyle w:val="Hyperlink"/>
            <w:color w:val="auto"/>
            <w:sz w:val="28"/>
            <w:szCs w:val="28"/>
          </w:rPr>
          <w:t>unemployment</w:t>
        </w:r>
      </w:hyperlink>
      <w:r w:rsidRPr="00513BAA">
        <w:rPr>
          <w:sz w:val="28"/>
          <w:szCs w:val="28"/>
        </w:rPr>
        <w:t xml:space="preserve">, exacerbated by the introduction of the first of the </w:t>
      </w:r>
      <w:hyperlink r:id="rId24" w:tooltip="Corn Laws" w:history="1">
        <w:r w:rsidRPr="00364319">
          <w:rPr>
            <w:rStyle w:val="Hyperlink"/>
            <w:color w:val="auto"/>
            <w:sz w:val="28"/>
            <w:szCs w:val="28"/>
            <w:u w:val="none"/>
          </w:rPr>
          <w:t>Corn Laws</w:t>
        </w:r>
      </w:hyperlink>
      <w:r w:rsidRPr="00364319">
        <w:rPr>
          <w:sz w:val="28"/>
          <w:szCs w:val="28"/>
        </w:rPr>
        <w:t>.</w:t>
      </w:r>
      <w:r w:rsidRPr="00513BAA">
        <w:rPr>
          <w:sz w:val="28"/>
          <w:szCs w:val="28"/>
        </w:rPr>
        <w:t xml:space="preserve"> By the beginning of 1819, the pressure generated by poor economic conditions, coupled with the relative lack of </w:t>
      </w:r>
      <w:hyperlink r:id="rId25" w:tooltip="Suffrage" w:history="1">
        <w:r w:rsidRPr="00364319">
          <w:rPr>
            <w:rStyle w:val="Hyperlink"/>
            <w:color w:val="auto"/>
            <w:sz w:val="28"/>
            <w:szCs w:val="28"/>
            <w:u w:val="none"/>
          </w:rPr>
          <w:t>suffrage</w:t>
        </w:r>
      </w:hyperlink>
      <w:r w:rsidRPr="00364319">
        <w:rPr>
          <w:sz w:val="28"/>
          <w:szCs w:val="28"/>
        </w:rPr>
        <w:t xml:space="preserve"> in </w:t>
      </w:r>
      <w:hyperlink r:id="rId26" w:tooltip="Northern England" w:history="1">
        <w:r w:rsidRPr="00364319">
          <w:rPr>
            <w:rStyle w:val="Hyperlink"/>
            <w:color w:val="auto"/>
            <w:sz w:val="28"/>
            <w:szCs w:val="28"/>
            <w:u w:val="none"/>
          </w:rPr>
          <w:t>Northern England</w:t>
        </w:r>
      </w:hyperlink>
      <w:r w:rsidRPr="00364319">
        <w:rPr>
          <w:sz w:val="28"/>
          <w:szCs w:val="28"/>
        </w:rPr>
        <w:t xml:space="preserve">, </w:t>
      </w:r>
      <w:proofErr w:type="gramStart"/>
      <w:r w:rsidRPr="00364319">
        <w:rPr>
          <w:sz w:val="28"/>
          <w:szCs w:val="28"/>
        </w:rPr>
        <w:t xml:space="preserve">had enhanced the appeal of </w:t>
      </w:r>
      <w:hyperlink r:id="rId27" w:tooltip="Radicalism (historical)" w:history="1">
        <w:r w:rsidRPr="00364319">
          <w:rPr>
            <w:rStyle w:val="Hyperlink"/>
            <w:color w:val="auto"/>
            <w:sz w:val="28"/>
            <w:szCs w:val="28"/>
            <w:u w:val="none"/>
          </w:rPr>
          <w:t>political</w:t>
        </w:r>
        <w:proofErr w:type="gramEnd"/>
        <w:r w:rsidRPr="00364319">
          <w:rPr>
            <w:rStyle w:val="Hyperlink"/>
            <w:color w:val="auto"/>
            <w:sz w:val="28"/>
            <w:szCs w:val="28"/>
            <w:u w:val="none"/>
          </w:rPr>
          <w:t xml:space="preserve"> radicalism</w:t>
        </w:r>
      </w:hyperlink>
      <w:r w:rsidRPr="00364319">
        <w:rPr>
          <w:sz w:val="28"/>
          <w:szCs w:val="28"/>
        </w:rPr>
        <w:t>.</w:t>
      </w:r>
      <w:r w:rsidRPr="00513BAA">
        <w:rPr>
          <w:sz w:val="28"/>
          <w:szCs w:val="28"/>
        </w:rPr>
        <w:t xml:space="preserve"> In response, the Manchester Patriotic Union, a group agitating for parliamentary reform, </w:t>
      </w:r>
      <w:proofErr w:type="spellStart"/>
      <w:r w:rsidRPr="00513BAA">
        <w:rPr>
          <w:sz w:val="28"/>
          <w:szCs w:val="28"/>
        </w:rPr>
        <w:t>organised</w:t>
      </w:r>
      <w:proofErr w:type="spellEnd"/>
      <w:r w:rsidRPr="00513BAA">
        <w:rPr>
          <w:sz w:val="28"/>
          <w:szCs w:val="28"/>
        </w:rPr>
        <w:t xml:space="preserve"> a demonstration to be addressed by the well-known radical orator </w:t>
      </w:r>
      <w:hyperlink r:id="rId28" w:tooltip="Henry Hunt (politician)" w:history="1">
        <w:r w:rsidRPr="00364319">
          <w:rPr>
            <w:rStyle w:val="Hyperlink"/>
            <w:color w:val="auto"/>
            <w:sz w:val="28"/>
            <w:szCs w:val="28"/>
            <w:u w:val="none"/>
          </w:rPr>
          <w:t>Henry Hunt</w:t>
        </w:r>
      </w:hyperlink>
      <w:r w:rsidRPr="00513BAA">
        <w:rPr>
          <w:sz w:val="28"/>
          <w:szCs w:val="28"/>
        </w:rPr>
        <w:t>.</w:t>
      </w:r>
    </w:p>
    <w:p w:rsidR="002A17CD" w:rsidRPr="00513BAA" w:rsidRDefault="002A17CD" w:rsidP="00513BAA">
      <w:pPr>
        <w:pStyle w:val="NormalWeb"/>
        <w:jc w:val="both"/>
        <w:rPr>
          <w:sz w:val="28"/>
          <w:szCs w:val="28"/>
        </w:rPr>
      </w:pPr>
      <w:r w:rsidRPr="00513BAA">
        <w:rPr>
          <w:sz w:val="28"/>
          <w:szCs w:val="28"/>
        </w:rPr>
        <w:lastRenderedPageBreak/>
        <w:t xml:space="preserve">Shortly after the meeting began local magistrates called on the military authorities to arrest Hunt and several others on the </w:t>
      </w:r>
      <w:hyperlink r:id="rId29" w:tooltip="Hustings" w:history="1">
        <w:proofErr w:type="spellStart"/>
        <w:r w:rsidRPr="00513BAA">
          <w:rPr>
            <w:rStyle w:val="Hyperlink"/>
            <w:color w:val="auto"/>
            <w:sz w:val="28"/>
            <w:szCs w:val="28"/>
          </w:rPr>
          <w:t>hustings</w:t>
        </w:r>
        <w:proofErr w:type="spellEnd"/>
      </w:hyperlink>
      <w:r w:rsidRPr="00513BAA">
        <w:rPr>
          <w:sz w:val="28"/>
          <w:szCs w:val="28"/>
        </w:rPr>
        <w:t xml:space="preserve"> with him, and to disperse the crowd. Cavalry charged into the crowd with </w:t>
      </w:r>
      <w:hyperlink r:id="rId30" w:tooltip="Sabre" w:history="1">
        <w:proofErr w:type="spellStart"/>
        <w:r w:rsidRPr="00513BAA">
          <w:rPr>
            <w:rStyle w:val="Hyperlink"/>
            <w:color w:val="auto"/>
            <w:sz w:val="28"/>
            <w:szCs w:val="28"/>
          </w:rPr>
          <w:t>sabres</w:t>
        </w:r>
        <w:proofErr w:type="spellEnd"/>
      </w:hyperlink>
      <w:r w:rsidRPr="00513BAA">
        <w:rPr>
          <w:sz w:val="28"/>
          <w:szCs w:val="28"/>
        </w:rPr>
        <w:t xml:space="preserve"> drawn, and in the ensuing confusion, 15 people were killed and 400–700 were injured. The </w:t>
      </w:r>
      <w:hyperlink r:id="rId31" w:tooltip="Massacre" w:history="1">
        <w:r w:rsidRPr="00364319">
          <w:rPr>
            <w:rStyle w:val="Hyperlink"/>
            <w:color w:val="auto"/>
            <w:sz w:val="28"/>
            <w:szCs w:val="28"/>
            <w:u w:val="none"/>
          </w:rPr>
          <w:t>massacre</w:t>
        </w:r>
      </w:hyperlink>
      <w:r w:rsidRPr="00513BAA">
        <w:rPr>
          <w:sz w:val="28"/>
          <w:szCs w:val="28"/>
        </w:rPr>
        <w:t xml:space="preserve"> was given the name </w:t>
      </w:r>
      <w:proofErr w:type="spellStart"/>
      <w:r w:rsidRPr="00513BAA">
        <w:rPr>
          <w:sz w:val="28"/>
          <w:szCs w:val="28"/>
        </w:rPr>
        <w:t>Peterloo</w:t>
      </w:r>
      <w:proofErr w:type="spellEnd"/>
      <w:r w:rsidRPr="00513BAA">
        <w:rPr>
          <w:sz w:val="28"/>
          <w:szCs w:val="28"/>
        </w:rPr>
        <w:t xml:space="preserve"> in an ironic comparison to the </w:t>
      </w:r>
      <w:hyperlink r:id="rId32" w:tooltip="Battle of Waterloo" w:history="1">
        <w:r w:rsidRPr="00364319">
          <w:rPr>
            <w:rStyle w:val="Hyperlink"/>
            <w:color w:val="auto"/>
            <w:sz w:val="28"/>
            <w:szCs w:val="28"/>
            <w:u w:val="none"/>
          </w:rPr>
          <w:t>Battle of Waterloo</w:t>
        </w:r>
      </w:hyperlink>
      <w:r w:rsidRPr="00513BAA">
        <w:rPr>
          <w:sz w:val="28"/>
          <w:szCs w:val="28"/>
        </w:rPr>
        <w:t>, which had taken place four years earlier. The poet Shelley, upon hearing of the event wrote The Masque of Anarchy, which was banned for 30 years.</w:t>
      </w:r>
    </w:p>
    <w:p w:rsidR="002A17CD" w:rsidRPr="00513BAA" w:rsidRDefault="002A17CD" w:rsidP="00513BAA">
      <w:pPr>
        <w:pStyle w:val="NormalWeb"/>
        <w:jc w:val="both"/>
        <w:rPr>
          <w:sz w:val="28"/>
          <w:szCs w:val="28"/>
        </w:rPr>
      </w:pPr>
    </w:p>
    <w:p w:rsidR="00733B15" w:rsidRPr="00513BAA" w:rsidRDefault="00733B15" w:rsidP="00513BAA">
      <w:pPr>
        <w:jc w:val="both"/>
        <w:rPr>
          <w:rFonts w:ascii="Times New Roman" w:hAnsi="Times New Roman" w:cs="Times New Roman"/>
          <w:sz w:val="28"/>
          <w:szCs w:val="28"/>
        </w:rPr>
      </w:pPr>
    </w:p>
    <w:sectPr w:rsidR="00733B15" w:rsidRPr="00513BAA" w:rsidSect="001B30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33B15"/>
    <w:rsid w:val="001B307F"/>
    <w:rsid w:val="002A17CD"/>
    <w:rsid w:val="00364319"/>
    <w:rsid w:val="00513BAA"/>
    <w:rsid w:val="00586BF4"/>
    <w:rsid w:val="00733B15"/>
    <w:rsid w:val="00A80BDF"/>
    <w:rsid w:val="00C3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B15"/>
    <w:rPr>
      <w:color w:val="0000FF"/>
      <w:u w:val="single"/>
    </w:rPr>
  </w:style>
  <w:style w:type="paragraph" w:styleId="NormalWeb">
    <w:name w:val="Normal (Web)"/>
    <w:basedOn w:val="Normal"/>
    <w:uiPriority w:val="99"/>
    <w:semiHidden/>
    <w:unhideWhenUsed/>
    <w:rsid w:val="00733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6056787">
      <w:bodyDiv w:val="1"/>
      <w:marLeft w:val="0"/>
      <w:marRight w:val="0"/>
      <w:marTop w:val="0"/>
      <w:marBottom w:val="0"/>
      <w:divBdr>
        <w:top w:val="none" w:sz="0" w:space="0" w:color="auto"/>
        <w:left w:val="none" w:sz="0" w:space="0" w:color="auto"/>
        <w:bottom w:val="none" w:sz="0" w:space="0" w:color="auto"/>
        <w:right w:val="none" w:sz="0" w:space="0" w:color="auto"/>
      </w:divBdr>
      <w:divsChild>
        <w:div w:id="560484739">
          <w:marLeft w:val="0"/>
          <w:marRight w:val="0"/>
          <w:marTop w:val="0"/>
          <w:marBottom w:val="0"/>
          <w:divBdr>
            <w:top w:val="none" w:sz="0" w:space="0" w:color="auto"/>
            <w:left w:val="none" w:sz="0" w:space="0" w:color="auto"/>
            <w:bottom w:val="none" w:sz="0" w:space="0" w:color="auto"/>
            <w:right w:val="none" w:sz="0" w:space="0" w:color="auto"/>
          </w:divBdr>
          <w:divsChild>
            <w:div w:id="1158380070">
              <w:marLeft w:val="0"/>
              <w:marRight w:val="0"/>
              <w:marTop w:val="0"/>
              <w:marBottom w:val="0"/>
              <w:divBdr>
                <w:top w:val="none" w:sz="0" w:space="0" w:color="auto"/>
                <w:left w:val="none" w:sz="0" w:space="0" w:color="auto"/>
                <w:bottom w:val="none" w:sz="0" w:space="0" w:color="auto"/>
                <w:right w:val="none" w:sz="0" w:space="0" w:color="auto"/>
              </w:divBdr>
              <w:divsChild>
                <w:div w:id="2590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5331">
      <w:bodyDiv w:val="1"/>
      <w:marLeft w:val="0"/>
      <w:marRight w:val="0"/>
      <w:marTop w:val="0"/>
      <w:marBottom w:val="0"/>
      <w:divBdr>
        <w:top w:val="none" w:sz="0" w:space="0" w:color="auto"/>
        <w:left w:val="none" w:sz="0" w:space="0" w:color="auto"/>
        <w:bottom w:val="none" w:sz="0" w:space="0" w:color="auto"/>
        <w:right w:val="none" w:sz="0" w:space="0" w:color="auto"/>
      </w:divBdr>
      <w:divsChild>
        <w:div w:id="1695381891">
          <w:marLeft w:val="0"/>
          <w:marRight w:val="0"/>
          <w:marTop w:val="0"/>
          <w:marBottom w:val="0"/>
          <w:divBdr>
            <w:top w:val="none" w:sz="0" w:space="0" w:color="auto"/>
            <w:left w:val="none" w:sz="0" w:space="0" w:color="auto"/>
            <w:bottom w:val="none" w:sz="0" w:space="0" w:color="auto"/>
            <w:right w:val="none" w:sz="0" w:space="0" w:color="auto"/>
          </w:divBdr>
          <w:divsChild>
            <w:div w:id="160707450">
              <w:marLeft w:val="0"/>
              <w:marRight w:val="0"/>
              <w:marTop w:val="0"/>
              <w:marBottom w:val="0"/>
              <w:divBdr>
                <w:top w:val="none" w:sz="0" w:space="0" w:color="auto"/>
                <w:left w:val="none" w:sz="0" w:space="0" w:color="auto"/>
                <w:bottom w:val="none" w:sz="0" w:space="0" w:color="auto"/>
                <w:right w:val="none" w:sz="0" w:space="0" w:color="auto"/>
              </w:divBdr>
              <w:divsChild>
                <w:div w:id="9456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180">
      <w:bodyDiv w:val="1"/>
      <w:marLeft w:val="0"/>
      <w:marRight w:val="0"/>
      <w:marTop w:val="0"/>
      <w:marBottom w:val="0"/>
      <w:divBdr>
        <w:top w:val="none" w:sz="0" w:space="0" w:color="auto"/>
        <w:left w:val="none" w:sz="0" w:space="0" w:color="auto"/>
        <w:bottom w:val="none" w:sz="0" w:space="0" w:color="auto"/>
        <w:right w:val="none" w:sz="0" w:space="0" w:color="auto"/>
      </w:divBdr>
      <w:divsChild>
        <w:div w:id="1821799608">
          <w:marLeft w:val="0"/>
          <w:marRight w:val="0"/>
          <w:marTop w:val="0"/>
          <w:marBottom w:val="0"/>
          <w:divBdr>
            <w:top w:val="none" w:sz="0" w:space="0" w:color="auto"/>
            <w:left w:val="none" w:sz="0" w:space="0" w:color="auto"/>
            <w:bottom w:val="none" w:sz="0" w:space="0" w:color="auto"/>
            <w:right w:val="none" w:sz="0" w:space="0" w:color="auto"/>
          </w:divBdr>
          <w:divsChild>
            <w:div w:id="1104228485">
              <w:marLeft w:val="0"/>
              <w:marRight w:val="0"/>
              <w:marTop w:val="0"/>
              <w:marBottom w:val="0"/>
              <w:divBdr>
                <w:top w:val="none" w:sz="0" w:space="0" w:color="auto"/>
                <w:left w:val="none" w:sz="0" w:space="0" w:color="auto"/>
                <w:bottom w:val="none" w:sz="0" w:space="0" w:color="auto"/>
                <w:right w:val="none" w:sz="0" w:space="0" w:color="auto"/>
              </w:divBdr>
              <w:divsChild>
                <w:div w:id="20023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rost_at_Midnight" TargetMode="External"/><Relationship Id="rId13" Type="http://schemas.openxmlformats.org/officeDocument/2006/relationships/hyperlink" Target="http://en.wikipedia.org/wiki/Jerome_McGann" TargetMode="External"/><Relationship Id="rId18" Type="http://schemas.openxmlformats.org/officeDocument/2006/relationships/hyperlink" Target="http://en.wikipedia.org/wiki/To_Autumn" TargetMode="External"/><Relationship Id="rId26" Type="http://schemas.openxmlformats.org/officeDocument/2006/relationships/hyperlink" Target="http://en.wikipedia.org/wiki/Northern_England" TargetMode="External"/><Relationship Id="rId3" Type="http://schemas.openxmlformats.org/officeDocument/2006/relationships/webSettings" Target="webSettings.xml"/><Relationship Id="rId21" Type="http://schemas.openxmlformats.org/officeDocument/2006/relationships/hyperlink" Target="http://en.wikipedia.org/wiki/Napoleonic_Wars" TargetMode="External"/><Relationship Id="rId34" Type="http://schemas.openxmlformats.org/officeDocument/2006/relationships/theme" Target="theme/theme1.xml"/><Relationship Id="rId7" Type="http://schemas.openxmlformats.org/officeDocument/2006/relationships/hyperlink" Target="http://en.wikipedia.org/wiki/Samuel_Taylor_Coleridge" TargetMode="External"/><Relationship Id="rId12" Type="http://schemas.openxmlformats.org/officeDocument/2006/relationships/hyperlink" Target="http://en.wikipedia.org/wiki/Helen_Vendler" TargetMode="External"/><Relationship Id="rId17" Type="http://schemas.openxmlformats.org/officeDocument/2006/relationships/hyperlink" Target="http://en.wikipedia.org/wiki/To_Autumn" TargetMode="External"/><Relationship Id="rId25" Type="http://schemas.openxmlformats.org/officeDocument/2006/relationships/hyperlink" Target="http://en.wikipedia.org/wiki/Suffrag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n.wikipedia.org/wiki/To_Autumn" TargetMode="External"/><Relationship Id="rId20" Type="http://schemas.openxmlformats.org/officeDocument/2006/relationships/hyperlink" Target="http://en.wikipedia.org/wiki/Charge_(warfare)" TargetMode="External"/><Relationship Id="rId29" Type="http://schemas.openxmlformats.org/officeDocument/2006/relationships/hyperlink" Target="http://en.wikipedia.org/wiki/Hustings" TargetMode="External"/><Relationship Id="rId1" Type="http://schemas.openxmlformats.org/officeDocument/2006/relationships/styles" Target="styles.xml"/><Relationship Id="rId6" Type="http://schemas.openxmlformats.org/officeDocument/2006/relationships/hyperlink" Target="http://en.wikipedia.org/wiki/Edmund_Spenser" TargetMode="External"/><Relationship Id="rId11" Type="http://schemas.openxmlformats.org/officeDocument/2006/relationships/hyperlink" Target="http://en.wikipedia.org/wiki/To_Autumn" TargetMode="External"/><Relationship Id="rId24" Type="http://schemas.openxmlformats.org/officeDocument/2006/relationships/hyperlink" Target="http://en.wikipedia.org/wiki/Corn_Laws" TargetMode="External"/><Relationship Id="rId32" Type="http://schemas.openxmlformats.org/officeDocument/2006/relationships/hyperlink" Target="http://en.wikipedia.org/wiki/Battle_of_Waterloo" TargetMode="External"/><Relationship Id="rId5" Type="http://schemas.openxmlformats.org/officeDocument/2006/relationships/hyperlink" Target="http://en.wikipedia.org/wiki/Georgics" TargetMode="External"/><Relationship Id="rId15" Type="http://schemas.openxmlformats.org/officeDocument/2006/relationships/hyperlink" Target="http://en.wikipedia.org/wiki/To_Autumn" TargetMode="External"/><Relationship Id="rId23" Type="http://schemas.openxmlformats.org/officeDocument/2006/relationships/hyperlink" Target="http://en.wikipedia.org/wiki/Unemployment" TargetMode="External"/><Relationship Id="rId28" Type="http://schemas.openxmlformats.org/officeDocument/2006/relationships/hyperlink" Target="http://en.wikipedia.org/wiki/Henry_Hunt_(politician)" TargetMode="External"/><Relationship Id="rId10" Type="http://schemas.openxmlformats.org/officeDocument/2006/relationships/hyperlink" Target="http://en.wikipedia.org/wiki/Harold_Bloom" TargetMode="External"/><Relationship Id="rId19" Type="http://schemas.openxmlformats.org/officeDocument/2006/relationships/hyperlink" Target="http://en.wikipedia.org/wiki/Manchester" TargetMode="External"/><Relationship Id="rId31" Type="http://schemas.openxmlformats.org/officeDocument/2006/relationships/hyperlink" Target="http://en.wikipedia.org/wiki/Massacre" TargetMode="External"/><Relationship Id="rId4" Type="http://schemas.openxmlformats.org/officeDocument/2006/relationships/hyperlink" Target="http://en.wikipedia.org/wiki/Virgil" TargetMode="External"/><Relationship Id="rId9" Type="http://schemas.openxmlformats.org/officeDocument/2006/relationships/hyperlink" Target="http://en.wikipedia.org/wiki/Walter_Jackson_Bate" TargetMode="External"/><Relationship Id="rId14" Type="http://schemas.openxmlformats.org/officeDocument/2006/relationships/hyperlink" Target="http://en.wikipedia.org/wiki/Peterloo_Massacre" TargetMode="External"/><Relationship Id="rId22" Type="http://schemas.openxmlformats.org/officeDocument/2006/relationships/hyperlink" Target="http://en.wikipedia.org/wiki/Famine" TargetMode="External"/><Relationship Id="rId27" Type="http://schemas.openxmlformats.org/officeDocument/2006/relationships/hyperlink" Target="http://en.wikipedia.org/wiki/Radicalism_(historical)" TargetMode="External"/><Relationship Id="rId30" Type="http://schemas.openxmlformats.org/officeDocument/2006/relationships/hyperlink" Target="http://en.wikipedia.org/wiki/Sa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INDRAJIT</dc:creator>
  <cp:lastModifiedBy>MYDOCUMENTS</cp:lastModifiedBy>
  <cp:revision>4</cp:revision>
  <dcterms:created xsi:type="dcterms:W3CDTF">2014-01-19T16:27:00Z</dcterms:created>
  <dcterms:modified xsi:type="dcterms:W3CDTF">2023-09-13T15:11:00Z</dcterms:modified>
</cp:coreProperties>
</file>