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A3EEA" w14:textId="7085E548" w:rsidR="005E2807" w:rsidRDefault="003A011F" w:rsidP="005E2807">
      <w:pPr>
        <w:jc w:val="center"/>
        <w:rPr>
          <w:rFonts w:ascii="Times New Roman" w:hAnsi="Times New Roman" w:cs="Times New Roman"/>
          <w:b/>
          <w:bCs/>
          <w:sz w:val="24"/>
          <w:szCs w:val="24"/>
          <w:u w:val="single"/>
          <w:lang w:val="en-US"/>
        </w:rPr>
      </w:pPr>
      <w:r w:rsidRPr="003A011F">
        <w:rPr>
          <w:rFonts w:ascii="Times New Roman" w:hAnsi="Times New Roman" w:cs="Times New Roman"/>
          <w:b/>
          <w:bCs/>
          <w:sz w:val="24"/>
          <w:szCs w:val="24"/>
          <w:u w:val="single"/>
          <w:lang w:val="en-US"/>
        </w:rPr>
        <w:t>Role of RBI</w:t>
      </w:r>
    </w:p>
    <w:p w14:paraId="7F50ABF5" w14:textId="20A75DE2" w:rsidR="003A011F" w:rsidRDefault="003A011F" w:rsidP="003A011F">
      <w:pPr>
        <w:jc w:val="both"/>
        <w:rPr>
          <w:rFonts w:ascii="Times New Roman" w:hAnsi="Times New Roman" w:cs="Times New Roman"/>
          <w:sz w:val="24"/>
          <w:szCs w:val="24"/>
          <w:lang w:val="en-US"/>
        </w:rPr>
      </w:pPr>
      <w:r>
        <w:rPr>
          <w:rFonts w:ascii="Times New Roman" w:hAnsi="Times New Roman" w:cs="Times New Roman"/>
          <w:sz w:val="24"/>
          <w:szCs w:val="24"/>
          <w:lang w:val="en-US"/>
        </w:rPr>
        <w:t>The Reserve Bank of India is the central bank of India. RBI came into existence on 1</w:t>
      </w:r>
      <w:r w:rsidRPr="003A011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April, 1935. RBI is the apex financial institution of the country’s financial system entrusted with the task of control, supervision, promotion, development and planning. The function</w:t>
      </w:r>
      <w:r w:rsidR="005E2807">
        <w:rPr>
          <w:rFonts w:ascii="Times New Roman" w:hAnsi="Times New Roman" w:cs="Times New Roman"/>
          <w:sz w:val="24"/>
          <w:szCs w:val="24"/>
          <w:lang w:val="en-US"/>
        </w:rPr>
        <w:t>s</w:t>
      </w:r>
      <w:r>
        <w:rPr>
          <w:rFonts w:ascii="Times New Roman" w:hAnsi="Times New Roman" w:cs="Times New Roman"/>
          <w:sz w:val="24"/>
          <w:szCs w:val="24"/>
          <w:lang w:val="en-US"/>
        </w:rPr>
        <w:t xml:space="preserve"> of RBI are classified into traditional function, development function</w:t>
      </w:r>
      <w:r w:rsidR="005E2807">
        <w:rPr>
          <w:rFonts w:ascii="Times New Roman" w:hAnsi="Times New Roman" w:cs="Times New Roman"/>
          <w:sz w:val="24"/>
          <w:szCs w:val="24"/>
          <w:lang w:val="en-US"/>
        </w:rPr>
        <w:t>,</w:t>
      </w:r>
      <w:r>
        <w:rPr>
          <w:rFonts w:ascii="Times New Roman" w:hAnsi="Times New Roman" w:cs="Times New Roman"/>
          <w:sz w:val="24"/>
          <w:szCs w:val="24"/>
          <w:lang w:val="en-US"/>
        </w:rPr>
        <w:t xml:space="preserve"> supervisor</w:t>
      </w:r>
      <w:r w:rsidR="005E2807">
        <w:rPr>
          <w:rFonts w:ascii="Times New Roman" w:hAnsi="Times New Roman" w:cs="Times New Roman"/>
          <w:sz w:val="24"/>
          <w:szCs w:val="24"/>
          <w:lang w:val="en-US"/>
        </w:rPr>
        <w:t xml:space="preserve">y function and regulatory function. </w:t>
      </w:r>
    </w:p>
    <w:p w14:paraId="70E97A44" w14:textId="68984D78" w:rsidR="005E2807" w:rsidRDefault="005E2807" w:rsidP="003A011F">
      <w:pPr>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1.</w:t>
      </w:r>
      <w:r w:rsidRPr="005E2807">
        <w:rPr>
          <w:rFonts w:ascii="Times New Roman" w:hAnsi="Times New Roman" w:cs="Times New Roman"/>
          <w:b/>
          <w:bCs/>
          <w:i/>
          <w:iCs/>
          <w:sz w:val="24"/>
          <w:szCs w:val="24"/>
          <w:lang w:val="en-US"/>
        </w:rPr>
        <w:t>Traditional functions: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Traditional functions include fundamental functions of the central banks. They comprise the following tasks-</w:t>
      </w:r>
    </w:p>
    <w:p w14:paraId="26223A8D" w14:textId="77777777" w:rsidR="008D134E" w:rsidRDefault="005E2807" w:rsidP="005E2807">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Issue of currency notes: The RBI has the sole right or authority of issuing currency notes except one rupee note and </w:t>
      </w:r>
      <w:r w:rsidR="008D134E">
        <w:rPr>
          <w:rFonts w:ascii="Times New Roman" w:hAnsi="Times New Roman" w:cs="Times New Roman"/>
          <w:sz w:val="24"/>
          <w:szCs w:val="24"/>
          <w:lang w:val="en-US"/>
        </w:rPr>
        <w:t xml:space="preserve">coins of smaller denomination. The RBI has power not only to issue and withdraw but even to exchange this currency notes for other denomination. </w:t>
      </w:r>
    </w:p>
    <w:p w14:paraId="79962141" w14:textId="77777777" w:rsidR="00514D61" w:rsidRDefault="008D134E" w:rsidP="005E2807">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Bankers to other banks: RBI provides short terms loans and advances to the commercials banks, when necessary, to facilitate lending </w:t>
      </w:r>
      <w:r w:rsidR="00514D61">
        <w:rPr>
          <w:rFonts w:ascii="Times New Roman" w:hAnsi="Times New Roman" w:cs="Times New Roman"/>
          <w:sz w:val="24"/>
          <w:szCs w:val="24"/>
          <w:lang w:val="en-US"/>
        </w:rPr>
        <w:t>to specific sectors and for specific purposes.</w:t>
      </w:r>
    </w:p>
    <w:p w14:paraId="2D061BE6" w14:textId="77777777" w:rsidR="00514D61" w:rsidRDefault="00514D61" w:rsidP="005E2807">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Lenders to the last resort: The commercial banks approaches to RBI at the time of emergency. </w:t>
      </w:r>
    </w:p>
    <w:p w14:paraId="43AA8CB9" w14:textId="77777777" w:rsidR="00514D61" w:rsidRDefault="00514D61" w:rsidP="005E2807">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Bankers to the government: It performs various banking function, under takes foreign exchange and provides financial assistance to the government of India.</w:t>
      </w:r>
    </w:p>
    <w:p w14:paraId="7BBDE66F" w14:textId="77777777" w:rsidR="00514D61" w:rsidRDefault="00514D61" w:rsidP="005E2807">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Exchange rate management: It is an essential function of RBI to prepare and implement foreign exchange rate policy to maintain the exchange rate stability.</w:t>
      </w:r>
    </w:p>
    <w:p w14:paraId="51748672" w14:textId="774B636F" w:rsidR="005E2807" w:rsidRPr="00D843BB" w:rsidRDefault="00514D61" w:rsidP="00514D61">
      <w:pPr>
        <w:jc w:val="both"/>
        <w:rPr>
          <w:rFonts w:ascii="Times New Roman" w:hAnsi="Times New Roman" w:cs="Times New Roman"/>
          <w:b/>
          <w:bCs/>
          <w:i/>
          <w:iCs/>
          <w:sz w:val="24"/>
          <w:szCs w:val="24"/>
          <w:lang w:val="en-US"/>
        </w:rPr>
      </w:pPr>
      <w:r w:rsidRPr="00D843BB">
        <w:rPr>
          <w:rFonts w:ascii="Times New Roman" w:hAnsi="Times New Roman" w:cs="Times New Roman"/>
          <w:b/>
          <w:bCs/>
          <w:i/>
          <w:iCs/>
          <w:sz w:val="24"/>
          <w:szCs w:val="24"/>
          <w:lang w:val="en-US"/>
        </w:rPr>
        <w:t>2. Developmental functions:</w:t>
      </w:r>
    </w:p>
    <w:p w14:paraId="22329927" w14:textId="60462956" w:rsidR="00514D61" w:rsidRDefault="00514D61" w:rsidP="00514D61">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Development of agriculture: RBI renders its services in agricultural sector by increasing the flow of cre</w:t>
      </w:r>
      <w:r w:rsidR="009C3EDB">
        <w:rPr>
          <w:rFonts w:ascii="Times New Roman" w:hAnsi="Times New Roman" w:cs="Times New Roman"/>
          <w:sz w:val="24"/>
          <w:szCs w:val="24"/>
          <w:lang w:val="en-US"/>
        </w:rPr>
        <w:t>dit</w:t>
      </w:r>
      <w:r>
        <w:rPr>
          <w:rFonts w:ascii="Times New Roman" w:hAnsi="Times New Roman" w:cs="Times New Roman"/>
          <w:sz w:val="24"/>
          <w:szCs w:val="24"/>
          <w:lang w:val="en-US"/>
        </w:rPr>
        <w:t xml:space="preserve"> to this sector through development of </w:t>
      </w:r>
      <w:r w:rsidR="009C3EDB">
        <w:rPr>
          <w:rFonts w:ascii="Times New Roman" w:hAnsi="Times New Roman" w:cs="Times New Roman"/>
          <w:sz w:val="24"/>
          <w:szCs w:val="24"/>
          <w:lang w:val="en-US"/>
        </w:rPr>
        <w:t>NABARD and RRBs.</w:t>
      </w:r>
    </w:p>
    <w:p w14:paraId="7EACA8F9" w14:textId="0CBEE344" w:rsidR="009C3EDB" w:rsidRDefault="009C3EDB" w:rsidP="00514D61">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Provision of industrial finance: Rapid industrial growth is the key to faster economic development. In this regard, the adequate and timely availability of credit to small, medium and large industry is very significant. In this regard, the RBI has contributed much in setting up special financial institution such as ICICI limited, IDBI, SIDBI and Ex-Im bank etc.,</w:t>
      </w:r>
    </w:p>
    <w:p w14:paraId="12216599" w14:textId="53184E72" w:rsidR="009C3EDB" w:rsidRDefault="009C3EDB" w:rsidP="00514D61">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Provision of training: The RBI has always tried to provide essential training to the staff of the banking industry. The RBI has set up the Banker’s training colleges at several places. National Institute of Bank Management (NIBM), Bankers Staff College (BSC) and College of Agriculture Banking (CAB) are some of the examples.</w:t>
      </w:r>
    </w:p>
    <w:p w14:paraId="1BEAB6CA" w14:textId="015E8EEA" w:rsidR="009C3EDB" w:rsidRDefault="009C3EDB" w:rsidP="00514D61">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Publication of the reports: Reserve bank has its separate publication division. This division collects and publishes data on several sectors of economy. </w:t>
      </w:r>
      <w:r w:rsidR="00B81EE0">
        <w:rPr>
          <w:rFonts w:ascii="Times New Roman" w:hAnsi="Times New Roman" w:cs="Times New Roman"/>
          <w:sz w:val="24"/>
          <w:szCs w:val="24"/>
          <w:lang w:val="en-US"/>
        </w:rPr>
        <w:t>The reports and bulletin are regularly published by the RBI. It includes RBI’s weekly report, RBI annual report, report on trend and progress of commercial banks in India. This information is made available to the public at cheaper rates.</w:t>
      </w:r>
    </w:p>
    <w:p w14:paraId="6A21AEA3" w14:textId="7420DC40" w:rsidR="00B81EE0" w:rsidRDefault="00B81EE0" w:rsidP="00514D61">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Promotion of banking habits: As an apex organization RBI always tries to promote the banking habits in the country and takes measures for an expansion of the banking network. It has set up many institutions such as Deposit Insurance Corporation, UTI, IDBI, NABARD etc., </w:t>
      </w:r>
    </w:p>
    <w:p w14:paraId="2BAE828E" w14:textId="065BE33F" w:rsidR="00B81EE0" w:rsidRPr="00D843BB" w:rsidRDefault="00B81EE0" w:rsidP="00B81EE0">
      <w:pPr>
        <w:jc w:val="both"/>
        <w:rPr>
          <w:rFonts w:ascii="Times New Roman" w:hAnsi="Times New Roman" w:cs="Times New Roman"/>
          <w:b/>
          <w:bCs/>
          <w:i/>
          <w:iCs/>
          <w:sz w:val="24"/>
          <w:szCs w:val="24"/>
          <w:lang w:val="en-US"/>
        </w:rPr>
      </w:pPr>
      <w:r w:rsidRPr="00D843BB">
        <w:rPr>
          <w:rFonts w:ascii="Times New Roman" w:hAnsi="Times New Roman" w:cs="Times New Roman"/>
          <w:b/>
          <w:bCs/>
          <w:i/>
          <w:iCs/>
          <w:sz w:val="24"/>
          <w:szCs w:val="24"/>
          <w:lang w:val="en-US"/>
        </w:rPr>
        <w:t>3. Supervisory functions:</w:t>
      </w:r>
    </w:p>
    <w:p w14:paraId="0E2989FC" w14:textId="5834368C" w:rsidR="00B81EE0" w:rsidRDefault="00B81EE0" w:rsidP="00B81EE0">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Granting license to bank: The RBI grants license to the banks which like to commence their business in India. Licenses are also required to open new branches or closure of branches. Whit this power RBI ensures avoidance of </w:t>
      </w:r>
      <w:r w:rsidR="00B52E29">
        <w:rPr>
          <w:rFonts w:ascii="Times New Roman" w:hAnsi="Times New Roman" w:cs="Times New Roman"/>
          <w:sz w:val="24"/>
          <w:szCs w:val="24"/>
          <w:lang w:val="en-US"/>
        </w:rPr>
        <w:t xml:space="preserve">unnecessary competitions, promotes evenly growths of banks in different regions.   </w:t>
      </w:r>
    </w:p>
    <w:p w14:paraId="661D8115" w14:textId="51BF24E1" w:rsidR="00B52E29" w:rsidRDefault="00B52E29" w:rsidP="00B81EE0">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Function of inspection and enquiry: In order to comply with the applicable provisions, RBI inspects and makes enquiry of commercial banks and other financial institutions in respect of their banking operation like loans and advances, deposits and investment functions. Under such inspections RBI ensures that the banks and financial institutions carry on their operations in a prudential manner, without taking undue risk but aiming at profit maximization within the existing rules and regulations. </w:t>
      </w:r>
    </w:p>
    <w:p w14:paraId="126D871A" w14:textId="77777777" w:rsidR="00B52E29" w:rsidRDefault="00B52E29" w:rsidP="00B81EE0">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Control the non-banking financial corporation: RBI issues necessary directions to the non-banking financial corporations and conducts inspection on their operation. </w:t>
      </w:r>
    </w:p>
    <w:p w14:paraId="01547B6A" w14:textId="760D4BC6" w:rsidR="0034031D" w:rsidRDefault="00B52E29" w:rsidP="0034031D">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Implementing </w:t>
      </w:r>
      <w:r w:rsidR="0034031D">
        <w:rPr>
          <w:rFonts w:ascii="Times New Roman" w:hAnsi="Times New Roman" w:cs="Times New Roman"/>
          <w:sz w:val="24"/>
          <w:szCs w:val="24"/>
          <w:lang w:val="en-US"/>
        </w:rPr>
        <w:t>D</w:t>
      </w:r>
      <w:r>
        <w:rPr>
          <w:rFonts w:ascii="Times New Roman" w:hAnsi="Times New Roman" w:cs="Times New Roman"/>
          <w:sz w:val="24"/>
          <w:szCs w:val="24"/>
          <w:lang w:val="en-US"/>
        </w:rPr>
        <w:t>eposit</w:t>
      </w:r>
      <w:r w:rsidR="0034031D">
        <w:rPr>
          <w:rFonts w:ascii="Times New Roman" w:hAnsi="Times New Roman" w:cs="Times New Roman"/>
          <w:sz w:val="24"/>
          <w:szCs w:val="24"/>
          <w:lang w:val="en-US"/>
        </w:rPr>
        <w:t xml:space="preserve"> Insurance Scheme: RBI implements the deposit insurance scheme for the benefit of bank depositors. Under this scheme, deposits up to one lakh rupees with the bank branches are guaranteed for payment even in cash of bank failure.</w:t>
      </w:r>
    </w:p>
    <w:p w14:paraId="7720E775" w14:textId="33EBBE4C" w:rsidR="0034031D" w:rsidRPr="00D843BB" w:rsidRDefault="0034031D" w:rsidP="0034031D">
      <w:pPr>
        <w:jc w:val="both"/>
        <w:rPr>
          <w:rFonts w:ascii="Times New Roman" w:hAnsi="Times New Roman" w:cs="Times New Roman"/>
          <w:b/>
          <w:bCs/>
          <w:i/>
          <w:iCs/>
          <w:sz w:val="24"/>
          <w:szCs w:val="24"/>
          <w:lang w:val="en-US"/>
        </w:rPr>
      </w:pPr>
      <w:r w:rsidRPr="00D843BB">
        <w:rPr>
          <w:rFonts w:ascii="Times New Roman" w:hAnsi="Times New Roman" w:cs="Times New Roman"/>
          <w:b/>
          <w:bCs/>
          <w:i/>
          <w:iCs/>
          <w:sz w:val="24"/>
          <w:szCs w:val="24"/>
          <w:lang w:val="en-US"/>
        </w:rPr>
        <w:t>4. Regulatory function:</w:t>
      </w:r>
    </w:p>
    <w:p w14:paraId="51431D95" w14:textId="31E911D7" w:rsidR="00D843BB" w:rsidRDefault="0034031D" w:rsidP="0034031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RBI acts as the regulator of money and credit by adopting various techniques of money control. It has the statutory power to regulate banking. It directs the lending policy of banks and control the purpose of loans, margins to be maintained and rate of interest. The various credit control technique adopted by RBI are – Qualitative methods: Open Mar</w:t>
      </w:r>
      <w:r w:rsidR="00230395">
        <w:rPr>
          <w:rFonts w:ascii="Times New Roman" w:hAnsi="Times New Roman" w:cs="Times New Roman"/>
          <w:sz w:val="24"/>
          <w:szCs w:val="24"/>
          <w:lang w:val="en-US"/>
        </w:rPr>
        <w:t xml:space="preserve">ket Operations, variation of bank rate, CRR, SLR: Qualitative methods: Credit rationing, moral suasion, selective credit control and margin </w:t>
      </w:r>
      <w:r w:rsidR="00D843BB">
        <w:rPr>
          <w:rFonts w:ascii="Times New Roman" w:hAnsi="Times New Roman" w:cs="Times New Roman"/>
          <w:sz w:val="24"/>
          <w:szCs w:val="24"/>
          <w:lang w:val="en-US"/>
        </w:rPr>
        <w:t>requirements</w:t>
      </w:r>
      <w:r w:rsidR="00230395">
        <w:rPr>
          <w:rFonts w:ascii="Times New Roman" w:hAnsi="Times New Roman" w:cs="Times New Roman"/>
          <w:sz w:val="24"/>
          <w:szCs w:val="24"/>
          <w:lang w:val="en-US"/>
        </w:rPr>
        <w:t>.</w:t>
      </w:r>
    </w:p>
    <w:p w14:paraId="16D2B373" w14:textId="77777777" w:rsidR="00D843BB" w:rsidRPr="00D843BB" w:rsidRDefault="00D843BB" w:rsidP="00D843BB">
      <w:pPr>
        <w:jc w:val="center"/>
        <w:rPr>
          <w:rFonts w:ascii="Times New Roman" w:hAnsi="Times New Roman" w:cs="Times New Roman"/>
          <w:b/>
          <w:bCs/>
          <w:sz w:val="24"/>
          <w:szCs w:val="24"/>
          <w:u w:val="single"/>
        </w:rPr>
      </w:pPr>
      <w:r w:rsidRPr="00D843BB">
        <w:rPr>
          <w:rFonts w:ascii="Times New Roman" w:hAnsi="Times New Roman" w:cs="Times New Roman"/>
          <w:b/>
          <w:bCs/>
          <w:sz w:val="24"/>
          <w:szCs w:val="24"/>
          <w:u w:val="single"/>
        </w:rPr>
        <w:t>Financial system performs co-ordination between savings and investments</w:t>
      </w:r>
    </w:p>
    <w:p w14:paraId="2C3AFFD8" w14:textId="77777777" w:rsidR="00D843BB" w:rsidRPr="00D843BB" w:rsidRDefault="00D843BB" w:rsidP="00D843BB">
      <w:pPr>
        <w:rPr>
          <w:rFonts w:ascii="Times New Roman" w:hAnsi="Times New Roman" w:cs="Times New Roman"/>
          <w:sz w:val="24"/>
          <w:szCs w:val="24"/>
        </w:rPr>
      </w:pPr>
      <w:r w:rsidRPr="00D843BB">
        <w:rPr>
          <w:rFonts w:ascii="Times New Roman" w:hAnsi="Times New Roman" w:cs="Times New Roman"/>
          <w:sz w:val="24"/>
          <w:szCs w:val="24"/>
        </w:rPr>
        <w:t>According to Robinson “financial system provides link between savings and investment for the creation of new wealth”.</w:t>
      </w:r>
    </w:p>
    <w:p w14:paraId="6E75DCBB" w14:textId="77777777" w:rsidR="00D843BB" w:rsidRPr="00D843BB" w:rsidRDefault="00D843BB" w:rsidP="00D843BB">
      <w:pPr>
        <w:rPr>
          <w:rFonts w:ascii="Times New Roman" w:hAnsi="Times New Roman" w:cs="Times New Roman"/>
          <w:sz w:val="24"/>
          <w:szCs w:val="24"/>
        </w:rPr>
      </w:pPr>
      <w:r w:rsidRPr="00D843BB">
        <w:rPr>
          <w:rFonts w:ascii="Times New Roman" w:hAnsi="Times New Roman" w:cs="Times New Roman"/>
          <w:sz w:val="24"/>
          <w:szCs w:val="24"/>
        </w:rPr>
        <w:t xml:space="preserve">In an economy there are two types of economic units – Surplus spending economic units and deficit spending economic unit. Surplus spending economic units are those whose income is more than their consumption and planned investment. These units provide the loanable fund for the economy. In India the surplus saving units are generally the household sector. Deficit spending units are those whose consumption and planned expenditure are less than their income. </w:t>
      </w:r>
    </w:p>
    <w:p w14:paraId="75F02938" w14:textId="6C0AA6E4" w:rsidR="0034031D" w:rsidRDefault="0034031D" w:rsidP="0034031D">
      <w:pPr>
        <w:jc w:val="both"/>
        <w:rPr>
          <w:rFonts w:ascii="Times New Roman" w:hAnsi="Times New Roman" w:cs="Times New Roman"/>
          <w:sz w:val="24"/>
          <w:szCs w:val="24"/>
          <w:lang w:val="en-US"/>
        </w:rPr>
      </w:pPr>
      <w:r w:rsidRPr="00D843BB">
        <w:rPr>
          <w:rFonts w:ascii="Times New Roman" w:hAnsi="Times New Roman" w:cs="Times New Roman"/>
          <w:sz w:val="24"/>
          <w:szCs w:val="24"/>
          <w:lang w:val="en-US"/>
        </w:rPr>
        <w:t xml:space="preserve">  </w:t>
      </w:r>
      <w:r w:rsidR="00D843BB">
        <w:rPr>
          <w:rFonts w:ascii="Times New Roman" w:hAnsi="Times New Roman" w:cs="Times New Roman"/>
          <w:sz w:val="24"/>
          <w:szCs w:val="24"/>
          <w:lang w:val="en-US"/>
        </w:rPr>
        <w:t xml:space="preserve">The surplus savings of the surplus spending household sector have to be transferred to the deficit spending units. A link in the form of a financial system is necessary to transfer surplus saving to </w:t>
      </w:r>
      <w:r w:rsidR="00465888">
        <w:rPr>
          <w:rFonts w:ascii="Times New Roman" w:hAnsi="Times New Roman" w:cs="Times New Roman"/>
          <w:sz w:val="24"/>
          <w:szCs w:val="24"/>
          <w:lang w:val="en-US"/>
        </w:rPr>
        <w:t>deficit units. The surplus and deficit units can be brought together either directly through external financing or indirectly through intermediates banks and other financial institutions.</w:t>
      </w:r>
      <w:r w:rsidR="002D3D23">
        <w:rPr>
          <w:rFonts w:ascii="Times New Roman" w:hAnsi="Times New Roman" w:cs="Times New Roman"/>
          <w:sz w:val="24"/>
          <w:szCs w:val="24"/>
          <w:lang w:val="en-US"/>
        </w:rPr>
        <w:t xml:space="preserve"> </w:t>
      </w:r>
    </w:p>
    <w:p w14:paraId="6FB160E7" w14:textId="5465CE6B" w:rsidR="002D3D23" w:rsidRDefault="002D3D23" w:rsidP="0034031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diagram given above shows how surplus units lend funds to financial intermediaries and financial markets- two important components of the financial system. Financial intermediaries issue secondary securities </w:t>
      </w:r>
    </w:p>
    <w:p w14:paraId="54279B0A" w14:textId="3CEAC35E" w:rsidR="00465888" w:rsidRPr="00D843BB" w:rsidRDefault="00465888" w:rsidP="0034031D">
      <w:pPr>
        <w:jc w:val="both"/>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1555C232" wp14:editId="65BC12C5">
            <wp:extent cx="5836920" cy="3413760"/>
            <wp:effectExtent l="0" t="0" r="0" b="342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sectPr w:rsidR="00465888" w:rsidRPr="00D843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2BE8"/>
    <w:multiLevelType w:val="hybridMultilevel"/>
    <w:tmpl w:val="61B0358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3B5DDB"/>
    <w:multiLevelType w:val="hybridMultilevel"/>
    <w:tmpl w:val="E85A7B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811C21"/>
    <w:multiLevelType w:val="hybridMultilevel"/>
    <w:tmpl w:val="B9D496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2F62009"/>
    <w:multiLevelType w:val="hybridMultilevel"/>
    <w:tmpl w:val="4DA4ED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0285157">
    <w:abstractNumId w:val="2"/>
  </w:num>
  <w:num w:numId="2" w16cid:durableId="862939452">
    <w:abstractNumId w:val="3"/>
  </w:num>
  <w:num w:numId="3" w16cid:durableId="1463185902">
    <w:abstractNumId w:val="0"/>
  </w:num>
  <w:num w:numId="4" w16cid:durableId="1737892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1F"/>
    <w:rsid w:val="00230395"/>
    <w:rsid w:val="002D3D23"/>
    <w:rsid w:val="0034031D"/>
    <w:rsid w:val="003A011F"/>
    <w:rsid w:val="00465888"/>
    <w:rsid w:val="00514D61"/>
    <w:rsid w:val="005E2807"/>
    <w:rsid w:val="008D134E"/>
    <w:rsid w:val="009C3EDB"/>
    <w:rsid w:val="009F6FF7"/>
    <w:rsid w:val="00A63F61"/>
    <w:rsid w:val="00B52E29"/>
    <w:rsid w:val="00B81EE0"/>
    <w:rsid w:val="00D843B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C87B"/>
  <w15:docId w15:val="{92F4090D-C80C-4D53-B3BB-F89719F0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5A3583-EEE7-4A84-B589-6FA1FCDE8D96}" type="doc">
      <dgm:prSet loTypeId="urn:microsoft.com/office/officeart/2005/8/layout/cycle7" loCatId="cycle" qsTypeId="urn:microsoft.com/office/officeart/2005/8/quickstyle/simple1" qsCatId="simple" csTypeId="urn:microsoft.com/office/officeart/2005/8/colors/accent0_1" csCatId="mainScheme" phldr="1"/>
      <dgm:spPr/>
      <dgm:t>
        <a:bodyPr/>
        <a:lstStyle/>
        <a:p>
          <a:endParaRPr lang="en-IN"/>
        </a:p>
      </dgm:t>
    </dgm:pt>
    <dgm:pt modelId="{D963F5D6-D56A-41F5-96D2-38EF3A5E8801}">
      <dgm:prSet phldrT="[Text]"/>
      <dgm:spPr/>
      <dgm:t>
        <a:bodyPr/>
        <a:lstStyle/>
        <a:p>
          <a:r>
            <a:rPr lang="en-IN">
              <a:latin typeface="Times New Roman" panose="02020603050405020304" pitchFamily="18" charset="0"/>
              <a:cs typeface="Times New Roman" panose="02020603050405020304" pitchFamily="18" charset="0"/>
            </a:rPr>
            <a:t>Flow of funds</a:t>
          </a:r>
        </a:p>
        <a:p>
          <a:r>
            <a:rPr lang="en-IN">
              <a:latin typeface="Times New Roman" panose="02020603050405020304" pitchFamily="18" charset="0"/>
              <a:cs typeface="Times New Roman" panose="02020603050405020304" pitchFamily="18" charset="0"/>
            </a:rPr>
            <a:t>(Financial market: Money and capital market)</a:t>
          </a:r>
        </a:p>
      </dgm:t>
    </dgm:pt>
    <dgm:pt modelId="{E7607354-B282-43B3-9002-D567AE421EEE}" type="parTrans" cxnId="{4A74EAC6-F725-4524-B244-21F707F77ED0}">
      <dgm:prSet/>
      <dgm:spPr/>
      <dgm:t>
        <a:bodyPr/>
        <a:lstStyle/>
        <a:p>
          <a:endParaRPr lang="en-IN"/>
        </a:p>
      </dgm:t>
    </dgm:pt>
    <dgm:pt modelId="{E595C23F-80BB-4F5A-9189-4E3FC689C44E}" type="sibTrans" cxnId="{4A74EAC6-F725-4524-B244-21F707F77ED0}">
      <dgm:prSet/>
      <dgm:spPr/>
      <dgm:t>
        <a:bodyPr/>
        <a:lstStyle/>
        <a:p>
          <a:endParaRPr lang="en-IN"/>
        </a:p>
      </dgm:t>
    </dgm:pt>
    <dgm:pt modelId="{351D28B7-F42F-4F8D-9017-03DD5232E118}">
      <dgm:prSet phldrT="[Text]"/>
      <dgm:spPr/>
      <dgm:t>
        <a:bodyPr/>
        <a:lstStyle/>
        <a:p>
          <a:r>
            <a:rPr lang="en-IN">
              <a:latin typeface="Times New Roman" panose="02020603050405020304" pitchFamily="18" charset="0"/>
              <a:cs typeface="Times New Roman" panose="02020603050405020304" pitchFamily="18" charset="0"/>
            </a:rPr>
            <a:t>Fund seekers</a:t>
          </a:r>
        </a:p>
        <a:p>
          <a:r>
            <a:rPr lang="en-IN">
              <a:latin typeface="Times New Roman" panose="02020603050405020304" pitchFamily="18" charset="0"/>
              <a:cs typeface="Times New Roman" panose="02020603050405020304" pitchFamily="18" charset="0"/>
            </a:rPr>
            <a:t>(Corporate sector, Goverment sector-deficit spending units)</a:t>
          </a:r>
        </a:p>
      </dgm:t>
    </dgm:pt>
    <dgm:pt modelId="{D7660319-5E79-423C-A77F-264AC987BDBE}" type="parTrans" cxnId="{B9359650-9C62-498E-90E7-D4C8BF895038}">
      <dgm:prSet/>
      <dgm:spPr/>
      <dgm:t>
        <a:bodyPr/>
        <a:lstStyle/>
        <a:p>
          <a:endParaRPr lang="en-IN"/>
        </a:p>
      </dgm:t>
    </dgm:pt>
    <dgm:pt modelId="{0A6F53A7-2687-42B1-B666-988DF5B5D231}" type="sibTrans" cxnId="{B9359650-9C62-498E-90E7-D4C8BF895038}">
      <dgm:prSet/>
      <dgm:spPr/>
      <dgm:t>
        <a:bodyPr/>
        <a:lstStyle/>
        <a:p>
          <a:endParaRPr lang="en-IN"/>
        </a:p>
      </dgm:t>
    </dgm:pt>
    <dgm:pt modelId="{0C83039C-D9A7-42DE-8BF7-98BA64C28A21}">
      <dgm:prSet phldrT="[Text]"/>
      <dgm:spPr/>
      <dgm:t>
        <a:bodyPr/>
        <a:lstStyle/>
        <a:p>
          <a:r>
            <a:rPr lang="en-IN">
              <a:latin typeface="Times New Roman" panose="02020603050405020304" pitchFamily="18" charset="0"/>
              <a:cs typeface="Times New Roman" panose="02020603050405020304" pitchFamily="18" charset="0"/>
            </a:rPr>
            <a:t>Fund suppliers</a:t>
          </a:r>
        </a:p>
        <a:p>
          <a:r>
            <a:rPr lang="en-IN">
              <a:latin typeface="Times New Roman" panose="02020603050405020304" pitchFamily="18" charset="0"/>
              <a:cs typeface="Times New Roman" panose="02020603050405020304" pitchFamily="18" charset="0"/>
            </a:rPr>
            <a:t>(Household sector surplus spending units)</a:t>
          </a:r>
        </a:p>
      </dgm:t>
    </dgm:pt>
    <dgm:pt modelId="{1F3A7582-0729-46D6-8073-3D010348D595}" type="parTrans" cxnId="{9089FA0F-82AA-4E22-8041-81F4B7110EF8}">
      <dgm:prSet/>
      <dgm:spPr/>
      <dgm:t>
        <a:bodyPr/>
        <a:lstStyle/>
        <a:p>
          <a:endParaRPr lang="en-IN"/>
        </a:p>
      </dgm:t>
    </dgm:pt>
    <dgm:pt modelId="{25B39B97-B708-4499-A646-111CFF0758E6}" type="sibTrans" cxnId="{9089FA0F-82AA-4E22-8041-81F4B7110EF8}">
      <dgm:prSet/>
      <dgm:spPr/>
      <dgm:t>
        <a:bodyPr/>
        <a:lstStyle/>
        <a:p>
          <a:endParaRPr lang="en-IN"/>
        </a:p>
      </dgm:t>
    </dgm:pt>
    <dgm:pt modelId="{2DB134C9-03EC-4A7D-82EA-F3E1881856C4}">
      <dgm:prSet/>
      <dgm:spPr/>
      <dgm:t>
        <a:bodyPr/>
        <a:lstStyle/>
        <a:p>
          <a:r>
            <a:rPr lang="en-IN">
              <a:latin typeface="Times New Roman" panose="02020603050405020304" pitchFamily="18" charset="0"/>
              <a:cs typeface="Times New Roman" panose="02020603050405020304" pitchFamily="18" charset="0"/>
            </a:rPr>
            <a:t>Financial asset claim or services</a:t>
          </a:r>
        </a:p>
        <a:p>
          <a:r>
            <a:rPr lang="en-IN">
              <a:latin typeface="Times New Roman" panose="02020603050405020304" pitchFamily="18" charset="0"/>
              <a:cs typeface="Times New Roman" panose="02020603050405020304" pitchFamily="18" charset="0"/>
            </a:rPr>
            <a:t>(Return of income: share and bonds)</a:t>
          </a:r>
        </a:p>
      </dgm:t>
    </dgm:pt>
    <dgm:pt modelId="{9A60D5E3-6A35-446A-A9B7-934DB6E552C5}" type="parTrans" cxnId="{F432E740-26FB-4585-A4AF-444BA911ADE3}">
      <dgm:prSet/>
      <dgm:spPr/>
      <dgm:t>
        <a:bodyPr/>
        <a:lstStyle/>
        <a:p>
          <a:endParaRPr lang="en-IN"/>
        </a:p>
      </dgm:t>
    </dgm:pt>
    <dgm:pt modelId="{F1941355-ED40-4580-888D-CCEFFD8B7326}" type="sibTrans" cxnId="{F432E740-26FB-4585-A4AF-444BA911ADE3}">
      <dgm:prSet/>
      <dgm:spPr/>
      <dgm:t>
        <a:bodyPr/>
        <a:lstStyle/>
        <a:p>
          <a:endParaRPr lang="en-IN"/>
        </a:p>
      </dgm:t>
    </dgm:pt>
    <dgm:pt modelId="{9EAC1047-DE58-4446-968A-747FD84DF173}" type="pres">
      <dgm:prSet presAssocID="{4E5A3583-EEE7-4A84-B589-6FA1FCDE8D96}" presName="Name0" presStyleCnt="0">
        <dgm:presLayoutVars>
          <dgm:dir/>
          <dgm:resizeHandles val="exact"/>
        </dgm:presLayoutVars>
      </dgm:prSet>
      <dgm:spPr/>
    </dgm:pt>
    <dgm:pt modelId="{F748F9DD-EB1E-4078-977B-82D3D7C96935}" type="pres">
      <dgm:prSet presAssocID="{D963F5D6-D56A-41F5-96D2-38EF3A5E8801}" presName="node" presStyleLbl="node1" presStyleIdx="0" presStyleCnt="4">
        <dgm:presLayoutVars>
          <dgm:bulletEnabled val="1"/>
        </dgm:presLayoutVars>
      </dgm:prSet>
      <dgm:spPr/>
    </dgm:pt>
    <dgm:pt modelId="{13C82A36-6A1F-4F75-80F6-B313EC8D2422}" type="pres">
      <dgm:prSet presAssocID="{E595C23F-80BB-4F5A-9189-4E3FC689C44E}" presName="sibTrans" presStyleLbl="sibTrans2D1" presStyleIdx="0" presStyleCnt="4"/>
      <dgm:spPr/>
    </dgm:pt>
    <dgm:pt modelId="{6004323A-23FD-497F-84FE-B998F87F1886}" type="pres">
      <dgm:prSet presAssocID="{E595C23F-80BB-4F5A-9189-4E3FC689C44E}" presName="connectorText" presStyleLbl="sibTrans2D1" presStyleIdx="0" presStyleCnt="4"/>
      <dgm:spPr/>
    </dgm:pt>
    <dgm:pt modelId="{F720A038-DB92-494F-AF75-D3BF0D534201}" type="pres">
      <dgm:prSet presAssocID="{351D28B7-F42F-4F8D-9017-03DD5232E118}" presName="node" presStyleLbl="node1" presStyleIdx="1" presStyleCnt="4">
        <dgm:presLayoutVars>
          <dgm:bulletEnabled val="1"/>
        </dgm:presLayoutVars>
      </dgm:prSet>
      <dgm:spPr/>
    </dgm:pt>
    <dgm:pt modelId="{7C8389FC-BA73-43CF-BBA7-A73009B2C63F}" type="pres">
      <dgm:prSet presAssocID="{0A6F53A7-2687-42B1-B666-988DF5B5D231}" presName="sibTrans" presStyleLbl="sibTrans2D1" presStyleIdx="1" presStyleCnt="4"/>
      <dgm:spPr/>
    </dgm:pt>
    <dgm:pt modelId="{BAA000A8-0E32-4E0A-B29A-1F3AC782178D}" type="pres">
      <dgm:prSet presAssocID="{0A6F53A7-2687-42B1-B666-988DF5B5D231}" presName="connectorText" presStyleLbl="sibTrans2D1" presStyleIdx="1" presStyleCnt="4"/>
      <dgm:spPr/>
    </dgm:pt>
    <dgm:pt modelId="{8D442A79-0C7E-4CB1-B486-5024E548FE2D}" type="pres">
      <dgm:prSet presAssocID="{2DB134C9-03EC-4A7D-82EA-F3E1881856C4}" presName="node" presStyleLbl="node1" presStyleIdx="2" presStyleCnt="4">
        <dgm:presLayoutVars>
          <dgm:bulletEnabled val="1"/>
        </dgm:presLayoutVars>
      </dgm:prSet>
      <dgm:spPr/>
    </dgm:pt>
    <dgm:pt modelId="{CD16BC1A-9AC7-4C40-8E7E-F1929E11C9CD}" type="pres">
      <dgm:prSet presAssocID="{F1941355-ED40-4580-888D-CCEFFD8B7326}" presName="sibTrans" presStyleLbl="sibTrans2D1" presStyleIdx="2" presStyleCnt="4"/>
      <dgm:spPr/>
    </dgm:pt>
    <dgm:pt modelId="{547B3B61-D792-4B9F-B74E-DBAC88B403B5}" type="pres">
      <dgm:prSet presAssocID="{F1941355-ED40-4580-888D-CCEFFD8B7326}" presName="connectorText" presStyleLbl="sibTrans2D1" presStyleIdx="2" presStyleCnt="4"/>
      <dgm:spPr/>
    </dgm:pt>
    <dgm:pt modelId="{4003F2F4-1068-4307-908A-0F3CD6601484}" type="pres">
      <dgm:prSet presAssocID="{0C83039C-D9A7-42DE-8BF7-98BA64C28A21}" presName="node" presStyleLbl="node1" presStyleIdx="3" presStyleCnt="4">
        <dgm:presLayoutVars>
          <dgm:bulletEnabled val="1"/>
        </dgm:presLayoutVars>
      </dgm:prSet>
      <dgm:spPr/>
    </dgm:pt>
    <dgm:pt modelId="{03AD76CE-2E4C-4EDB-8DAD-BE964D879E84}" type="pres">
      <dgm:prSet presAssocID="{25B39B97-B708-4499-A646-111CFF0758E6}" presName="sibTrans" presStyleLbl="sibTrans2D1" presStyleIdx="3" presStyleCnt="4"/>
      <dgm:spPr/>
    </dgm:pt>
    <dgm:pt modelId="{E5664C22-25D9-4AF8-ADC1-ED86B2273A5D}" type="pres">
      <dgm:prSet presAssocID="{25B39B97-B708-4499-A646-111CFF0758E6}" presName="connectorText" presStyleLbl="sibTrans2D1" presStyleIdx="3" presStyleCnt="4"/>
      <dgm:spPr/>
    </dgm:pt>
  </dgm:ptLst>
  <dgm:cxnLst>
    <dgm:cxn modelId="{B8888907-0A15-4AA1-BE30-45AA6A4342CC}" type="presOf" srcId="{0C83039C-D9A7-42DE-8BF7-98BA64C28A21}" destId="{4003F2F4-1068-4307-908A-0F3CD6601484}" srcOrd="0" destOrd="0" presId="urn:microsoft.com/office/officeart/2005/8/layout/cycle7"/>
    <dgm:cxn modelId="{9089FA0F-82AA-4E22-8041-81F4B7110EF8}" srcId="{4E5A3583-EEE7-4A84-B589-6FA1FCDE8D96}" destId="{0C83039C-D9A7-42DE-8BF7-98BA64C28A21}" srcOrd="3" destOrd="0" parTransId="{1F3A7582-0729-46D6-8073-3D010348D595}" sibTransId="{25B39B97-B708-4499-A646-111CFF0758E6}"/>
    <dgm:cxn modelId="{73CFE023-DABC-4431-8D12-68D4BFF9E85B}" type="presOf" srcId="{D963F5D6-D56A-41F5-96D2-38EF3A5E8801}" destId="{F748F9DD-EB1E-4078-977B-82D3D7C96935}" srcOrd="0" destOrd="0" presId="urn:microsoft.com/office/officeart/2005/8/layout/cycle7"/>
    <dgm:cxn modelId="{30D1C527-0206-4ABE-B30B-527B14BCF141}" type="presOf" srcId="{25B39B97-B708-4499-A646-111CFF0758E6}" destId="{E5664C22-25D9-4AF8-ADC1-ED86B2273A5D}" srcOrd="1" destOrd="0" presId="urn:microsoft.com/office/officeart/2005/8/layout/cycle7"/>
    <dgm:cxn modelId="{F432E740-26FB-4585-A4AF-444BA911ADE3}" srcId="{4E5A3583-EEE7-4A84-B589-6FA1FCDE8D96}" destId="{2DB134C9-03EC-4A7D-82EA-F3E1881856C4}" srcOrd="2" destOrd="0" parTransId="{9A60D5E3-6A35-446A-A9B7-934DB6E552C5}" sibTransId="{F1941355-ED40-4580-888D-CCEFFD8B7326}"/>
    <dgm:cxn modelId="{2C3E626F-97E9-4EDB-96DD-2F9E6D65E0DA}" type="presOf" srcId="{E595C23F-80BB-4F5A-9189-4E3FC689C44E}" destId="{13C82A36-6A1F-4F75-80F6-B313EC8D2422}" srcOrd="0" destOrd="0" presId="urn:microsoft.com/office/officeart/2005/8/layout/cycle7"/>
    <dgm:cxn modelId="{B9359650-9C62-498E-90E7-D4C8BF895038}" srcId="{4E5A3583-EEE7-4A84-B589-6FA1FCDE8D96}" destId="{351D28B7-F42F-4F8D-9017-03DD5232E118}" srcOrd="1" destOrd="0" parTransId="{D7660319-5E79-423C-A77F-264AC987BDBE}" sibTransId="{0A6F53A7-2687-42B1-B666-988DF5B5D231}"/>
    <dgm:cxn modelId="{BB88FA82-28DD-4C7F-BFAB-4E1CACF0EC53}" type="presOf" srcId="{2DB134C9-03EC-4A7D-82EA-F3E1881856C4}" destId="{8D442A79-0C7E-4CB1-B486-5024E548FE2D}" srcOrd="0" destOrd="0" presId="urn:microsoft.com/office/officeart/2005/8/layout/cycle7"/>
    <dgm:cxn modelId="{0109B384-A3CD-4F5B-8D53-B43089DA6E43}" type="presOf" srcId="{351D28B7-F42F-4F8D-9017-03DD5232E118}" destId="{F720A038-DB92-494F-AF75-D3BF0D534201}" srcOrd="0" destOrd="0" presId="urn:microsoft.com/office/officeart/2005/8/layout/cycle7"/>
    <dgm:cxn modelId="{5889669A-EDDB-429E-93D1-29880CA077BD}" type="presOf" srcId="{F1941355-ED40-4580-888D-CCEFFD8B7326}" destId="{547B3B61-D792-4B9F-B74E-DBAC88B403B5}" srcOrd="1" destOrd="0" presId="urn:microsoft.com/office/officeart/2005/8/layout/cycle7"/>
    <dgm:cxn modelId="{473109AA-D832-4DEB-92FE-7C19804DBEFB}" type="presOf" srcId="{F1941355-ED40-4580-888D-CCEFFD8B7326}" destId="{CD16BC1A-9AC7-4C40-8E7E-F1929E11C9CD}" srcOrd="0" destOrd="0" presId="urn:microsoft.com/office/officeart/2005/8/layout/cycle7"/>
    <dgm:cxn modelId="{B23348B4-C268-43C7-8184-1BADC365E146}" type="presOf" srcId="{25B39B97-B708-4499-A646-111CFF0758E6}" destId="{03AD76CE-2E4C-4EDB-8DAD-BE964D879E84}" srcOrd="0" destOrd="0" presId="urn:microsoft.com/office/officeart/2005/8/layout/cycle7"/>
    <dgm:cxn modelId="{4A74EAC6-F725-4524-B244-21F707F77ED0}" srcId="{4E5A3583-EEE7-4A84-B589-6FA1FCDE8D96}" destId="{D963F5D6-D56A-41F5-96D2-38EF3A5E8801}" srcOrd="0" destOrd="0" parTransId="{E7607354-B282-43B3-9002-D567AE421EEE}" sibTransId="{E595C23F-80BB-4F5A-9189-4E3FC689C44E}"/>
    <dgm:cxn modelId="{4294DACD-99F7-4A45-88EF-2293DC2278D2}" type="presOf" srcId="{0A6F53A7-2687-42B1-B666-988DF5B5D231}" destId="{7C8389FC-BA73-43CF-BBA7-A73009B2C63F}" srcOrd="0" destOrd="0" presId="urn:microsoft.com/office/officeart/2005/8/layout/cycle7"/>
    <dgm:cxn modelId="{E91EE6CD-9F26-4179-80B2-3C20C3BBB544}" type="presOf" srcId="{E595C23F-80BB-4F5A-9189-4E3FC689C44E}" destId="{6004323A-23FD-497F-84FE-B998F87F1886}" srcOrd="1" destOrd="0" presId="urn:microsoft.com/office/officeart/2005/8/layout/cycle7"/>
    <dgm:cxn modelId="{CE6ED0D3-ACAD-48B5-9DDD-8701E728BBF2}" type="presOf" srcId="{0A6F53A7-2687-42B1-B666-988DF5B5D231}" destId="{BAA000A8-0E32-4E0A-B29A-1F3AC782178D}" srcOrd="1" destOrd="0" presId="urn:microsoft.com/office/officeart/2005/8/layout/cycle7"/>
    <dgm:cxn modelId="{3A9B57FF-138B-45DA-8C2A-2A1D71B53447}" type="presOf" srcId="{4E5A3583-EEE7-4A84-B589-6FA1FCDE8D96}" destId="{9EAC1047-DE58-4446-968A-747FD84DF173}" srcOrd="0" destOrd="0" presId="urn:microsoft.com/office/officeart/2005/8/layout/cycle7"/>
    <dgm:cxn modelId="{9E0B39C4-29FA-4FCD-A400-157970B41465}" type="presParOf" srcId="{9EAC1047-DE58-4446-968A-747FD84DF173}" destId="{F748F9DD-EB1E-4078-977B-82D3D7C96935}" srcOrd="0" destOrd="0" presId="urn:microsoft.com/office/officeart/2005/8/layout/cycle7"/>
    <dgm:cxn modelId="{13C707F2-3D4E-4EF9-B15B-A84F067E03A7}" type="presParOf" srcId="{9EAC1047-DE58-4446-968A-747FD84DF173}" destId="{13C82A36-6A1F-4F75-80F6-B313EC8D2422}" srcOrd="1" destOrd="0" presId="urn:microsoft.com/office/officeart/2005/8/layout/cycle7"/>
    <dgm:cxn modelId="{62CD13C0-CEF4-444C-8953-9426F2A19B59}" type="presParOf" srcId="{13C82A36-6A1F-4F75-80F6-B313EC8D2422}" destId="{6004323A-23FD-497F-84FE-B998F87F1886}" srcOrd="0" destOrd="0" presId="urn:microsoft.com/office/officeart/2005/8/layout/cycle7"/>
    <dgm:cxn modelId="{65E9F137-8B57-4B70-A659-B7FECD450ADA}" type="presParOf" srcId="{9EAC1047-DE58-4446-968A-747FD84DF173}" destId="{F720A038-DB92-494F-AF75-D3BF0D534201}" srcOrd="2" destOrd="0" presId="urn:microsoft.com/office/officeart/2005/8/layout/cycle7"/>
    <dgm:cxn modelId="{F9C862EF-7D3E-4B12-B6A3-7808369C17E2}" type="presParOf" srcId="{9EAC1047-DE58-4446-968A-747FD84DF173}" destId="{7C8389FC-BA73-43CF-BBA7-A73009B2C63F}" srcOrd="3" destOrd="0" presId="urn:microsoft.com/office/officeart/2005/8/layout/cycle7"/>
    <dgm:cxn modelId="{CB1643BF-016E-42FD-AB54-E7D1EEA8A2F5}" type="presParOf" srcId="{7C8389FC-BA73-43CF-BBA7-A73009B2C63F}" destId="{BAA000A8-0E32-4E0A-B29A-1F3AC782178D}" srcOrd="0" destOrd="0" presId="urn:microsoft.com/office/officeart/2005/8/layout/cycle7"/>
    <dgm:cxn modelId="{2C4BD526-DCA9-4FD5-A1E2-40CED47204D6}" type="presParOf" srcId="{9EAC1047-DE58-4446-968A-747FD84DF173}" destId="{8D442A79-0C7E-4CB1-B486-5024E548FE2D}" srcOrd="4" destOrd="0" presId="urn:microsoft.com/office/officeart/2005/8/layout/cycle7"/>
    <dgm:cxn modelId="{5F9EF409-253F-47CC-A990-D97622D30035}" type="presParOf" srcId="{9EAC1047-DE58-4446-968A-747FD84DF173}" destId="{CD16BC1A-9AC7-4C40-8E7E-F1929E11C9CD}" srcOrd="5" destOrd="0" presId="urn:microsoft.com/office/officeart/2005/8/layout/cycle7"/>
    <dgm:cxn modelId="{250C6191-ECD8-44DE-91B5-D05C1BE3C968}" type="presParOf" srcId="{CD16BC1A-9AC7-4C40-8E7E-F1929E11C9CD}" destId="{547B3B61-D792-4B9F-B74E-DBAC88B403B5}" srcOrd="0" destOrd="0" presId="urn:microsoft.com/office/officeart/2005/8/layout/cycle7"/>
    <dgm:cxn modelId="{F479D06C-2F17-42C8-8579-6F53DB4F629D}" type="presParOf" srcId="{9EAC1047-DE58-4446-968A-747FD84DF173}" destId="{4003F2F4-1068-4307-908A-0F3CD6601484}" srcOrd="6" destOrd="0" presId="urn:microsoft.com/office/officeart/2005/8/layout/cycle7"/>
    <dgm:cxn modelId="{D2B89B4D-F742-40FA-92EC-52DC1DB20749}" type="presParOf" srcId="{9EAC1047-DE58-4446-968A-747FD84DF173}" destId="{03AD76CE-2E4C-4EDB-8DAD-BE964D879E84}" srcOrd="7" destOrd="0" presId="urn:microsoft.com/office/officeart/2005/8/layout/cycle7"/>
    <dgm:cxn modelId="{93A6B887-F9A0-469A-BE1E-1DB7851DF94F}" type="presParOf" srcId="{03AD76CE-2E4C-4EDB-8DAD-BE964D879E84}" destId="{E5664C22-25D9-4AF8-ADC1-ED86B2273A5D}" srcOrd="0" destOrd="0" presId="urn:microsoft.com/office/officeart/2005/8/layout/cycle7"/>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48F9DD-EB1E-4078-977B-82D3D7C96935}">
      <dsp:nvSpPr>
        <dsp:cNvPr id="0" name=""/>
        <dsp:cNvSpPr/>
      </dsp:nvSpPr>
      <dsp:spPr>
        <a:xfrm>
          <a:off x="2213783" y="1592"/>
          <a:ext cx="1409353" cy="7046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Flow of funds</a:t>
          </a:r>
        </a:p>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(Financial market: Money and capital market)</a:t>
          </a:r>
        </a:p>
      </dsp:txBody>
      <dsp:txXfrm>
        <a:off x="2234422" y="22231"/>
        <a:ext cx="1368075" cy="663398"/>
      </dsp:txXfrm>
    </dsp:sp>
    <dsp:sp modelId="{13C82A36-6A1F-4F75-80F6-B313EC8D2422}">
      <dsp:nvSpPr>
        <dsp:cNvPr id="0" name=""/>
        <dsp:cNvSpPr/>
      </dsp:nvSpPr>
      <dsp:spPr>
        <a:xfrm rot="2700000">
          <a:off x="3228216" y="907087"/>
          <a:ext cx="733435" cy="246636"/>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3302207" y="956414"/>
        <a:ext cx="585453" cy="147982"/>
      </dsp:txXfrm>
    </dsp:sp>
    <dsp:sp modelId="{F720A038-DB92-494F-AF75-D3BF0D534201}">
      <dsp:nvSpPr>
        <dsp:cNvPr id="0" name=""/>
        <dsp:cNvSpPr/>
      </dsp:nvSpPr>
      <dsp:spPr>
        <a:xfrm>
          <a:off x="3566731" y="1354541"/>
          <a:ext cx="1409353" cy="7046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Fund seekers</a:t>
          </a:r>
        </a:p>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(Corporate sector, Goverment sector-deficit spending units)</a:t>
          </a:r>
        </a:p>
      </dsp:txBody>
      <dsp:txXfrm>
        <a:off x="3587370" y="1375180"/>
        <a:ext cx="1368075" cy="663398"/>
      </dsp:txXfrm>
    </dsp:sp>
    <dsp:sp modelId="{7C8389FC-BA73-43CF-BBA7-A73009B2C63F}">
      <dsp:nvSpPr>
        <dsp:cNvPr id="0" name=""/>
        <dsp:cNvSpPr/>
      </dsp:nvSpPr>
      <dsp:spPr>
        <a:xfrm rot="8100000">
          <a:off x="3228216" y="2260035"/>
          <a:ext cx="733435" cy="246636"/>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rot="10800000">
        <a:off x="3302207" y="2309362"/>
        <a:ext cx="585453" cy="147982"/>
      </dsp:txXfrm>
    </dsp:sp>
    <dsp:sp modelId="{8D442A79-0C7E-4CB1-B486-5024E548FE2D}">
      <dsp:nvSpPr>
        <dsp:cNvPr id="0" name=""/>
        <dsp:cNvSpPr/>
      </dsp:nvSpPr>
      <dsp:spPr>
        <a:xfrm>
          <a:off x="2213783" y="2707490"/>
          <a:ext cx="1409353" cy="7046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Financial asset claim or services</a:t>
          </a:r>
        </a:p>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(Return of income: share and bonds)</a:t>
          </a:r>
        </a:p>
      </dsp:txBody>
      <dsp:txXfrm>
        <a:off x="2234422" y="2728129"/>
        <a:ext cx="1368075" cy="663398"/>
      </dsp:txXfrm>
    </dsp:sp>
    <dsp:sp modelId="{CD16BC1A-9AC7-4C40-8E7E-F1929E11C9CD}">
      <dsp:nvSpPr>
        <dsp:cNvPr id="0" name=""/>
        <dsp:cNvSpPr/>
      </dsp:nvSpPr>
      <dsp:spPr>
        <a:xfrm rot="13500000">
          <a:off x="1875267" y="2260035"/>
          <a:ext cx="733435" cy="246636"/>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rot="10800000">
        <a:off x="1949258" y="2309362"/>
        <a:ext cx="585453" cy="147982"/>
      </dsp:txXfrm>
    </dsp:sp>
    <dsp:sp modelId="{4003F2F4-1068-4307-908A-0F3CD6601484}">
      <dsp:nvSpPr>
        <dsp:cNvPr id="0" name=""/>
        <dsp:cNvSpPr/>
      </dsp:nvSpPr>
      <dsp:spPr>
        <a:xfrm>
          <a:off x="860834" y="1354541"/>
          <a:ext cx="1409353" cy="7046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Fund suppliers</a:t>
          </a:r>
        </a:p>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(Household sector surplus spending units)</a:t>
          </a:r>
        </a:p>
      </dsp:txBody>
      <dsp:txXfrm>
        <a:off x="881473" y="1375180"/>
        <a:ext cx="1368075" cy="663398"/>
      </dsp:txXfrm>
    </dsp:sp>
    <dsp:sp modelId="{03AD76CE-2E4C-4EDB-8DAD-BE964D879E84}">
      <dsp:nvSpPr>
        <dsp:cNvPr id="0" name=""/>
        <dsp:cNvSpPr/>
      </dsp:nvSpPr>
      <dsp:spPr>
        <a:xfrm rot="18900000">
          <a:off x="1875267" y="907087"/>
          <a:ext cx="733435" cy="246636"/>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p>
      </dsp:txBody>
      <dsp:txXfrm>
        <a:off x="1949258" y="956414"/>
        <a:ext cx="585453" cy="147982"/>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Sreeja Patra</dc:creator>
  <cp:keywords/>
  <dc:description/>
  <cp:lastModifiedBy>Sreeja Patra</cp:lastModifiedBy>
  <cp:revision>2</cp:revision>
  <dcterms:created xsi:type="dcterms:W3CDTF">2022-12-01T13:10:00Z</dcterms:created>
  <dcterms:modified xsi:type="dcterms:W3CDTF">2022-12-01T13:10:00Z</dcterms:modified>
</cp:coreProperties>
</file>