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Externality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480" w:lineRule="auto"/>
        <w:rPr>
          <w:color w:val="202122"/>
          <w:sz w:val="23"/>
          <w:szCs w:val="23"/>
          <w:highlight w:val="white"/>
        </w:rPr>
      </w:pPr>
      <w:r w:rsidDel="00000000" w:rsidR="00000000" w:rsidRPr="00000000">
        <w:rPr>
          <w:color w:val="202122"/>
          <w:sz w:val="23"/>
          <w:szCs w:val="23"/>
          <w:highlight w:val="white"/>
          <w:rtl w:val="0"/>
        </w:rPr>
        <w:t xml:space="preserve">An </w:t>
      </w:r>
      <w:r w:rsidDel="00000000" w:rsidR="00000000" w:rsidRPr="00000000">
        <w:rPr>
          <w:b w:val="1"/>
          <w:color w:val="202122"/>
          <w:sz w:val="23"/>
          <w:szCs w:val="23"/>
          <w:highlight w:val="white"/>
          <w:rtl w:val="0"/>
        </w:rPr>
        <w:t xml:space="preserve">externality</w:t>
      </w:r>
      <w:r w:rsidDel="00000000" w:rsidR="00000000" w:rsidRPr="00000000">
        <w:rPr>
          <w:color w:val="202122"/>
          <w:sz w:val="23"/>
          <w:szCs w:val="23"/>
          <w:highlight w:val="white"/>
          <w:rtl w:val="0"/>
        </w:rPr>
        <w:t xml:space="preserve"> is the cost or benefit that is imposed by one or several parties on a third party who did not agree to incur that cost or benefit. The term was coined by Arthur Pigou. </w:t>
      </w:r>
    </w:p>
    <w:p w:rsidR="00000000" w:rsidDel="00000000" w:rsidP="00000000" w:rsidRDefault="00000000" w:rsidRPr="00000000" w14:paraId="00000004">
      <w:pPr>
        <w:pageBreakBefore w:val="0"/>
        <w:spacing w:line="480" w:lineRule="auto"/>
        <w:rPr>
          <w:color w:val="202122"/>
          <w:sz w:val="23"/>
          <w:szCs w:val="23"/>
          <w:highlight w:val="white"/>
        </w:rPr>
      </w:pPr>
      <w:r w:rsidDel="00000000" w:rsidR="00000000" w:rsidRPr="00000000">
        <w:rPr>
          <w:color w:val="202122"/>
          <w:sz w:val="23"/>
          <w:szCs w:val="23"/>
          <w:highlight w:val="white"/>
          <w:rtl w:val="0"/>
        </w:rPr>
        <w:t xml:space="preserve">Positive Externality</w:t>
      </w:r>
    </w:p>
    <w:p w:rsidR="00000000" w:rsidDel="00000000" w:rsidP="00000000" w:rsidRDefault="00000000" w:rsidRPr="00000000" w14:paraId="00000005">
      <w:pPr>
        <w:pageBreakBefore w:val="0"/>
        <w:spacing w:line="480" w:lineRule="auto"/>
        <w:rPr>
          <w:color w:val="202122"/>
          <w:sz w:val="23"/>
          <w:szCs w:val="23"/>
          <w:highlight w:val="white"/>
        </w:rPr>
      </w:pPr>
      <w:r w:rsidDel="00000000" w:rsidR="00000000" w:rsidRPr="00000000">
        <w:rPr>
          <w:color w:val="202122"/>
          <w:sz w:val="23"/>
          <w:szCs w:val="23"/>
          <w:highlight w:val="white"/>
          <w:rtl w:val="0"/>
        </w:rPr>
        <w:t xml:space="preserve">Negative Externality</w:t>
      </w:r>
    </w:p>
    <w:p w:rsidR="00000000" w:rsidDel="00000000" w:rsidP="00000000" w:rsidRDefault="00000000" w:rsidRPr="00000000" w14:paraId="00000006">
      <w:pPr>
        <w:pageBreakBefore w:val="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Property Rights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480" w:lineRule="auto"/>
        <w:jc w:val="both"/>
        <w:rPr>
          <w:color w:val="0b0080"/>
          <w:sz w:val="28"/>
          <w:szCs w:val="28"/>
          <w:highlight w:val="white"/>
          <w:vertAlign w:val="superscript"/>
        </w:rPr>
      </w:pPr>
      <w:r w:rsidDel="00000000" w:rsidR="00000000" w:rsidRPr="00000000">
        <w:rPr>
          <w:b w:val="1"/>
          <w:color w:val="202122"/>
          <w:sz w:val="21"/>
          <w:szCs w:val="21"/>
          <w:highlight w:val="white"/>
          <w:rtl w:val="0"/>
        </w:rPr>
        <w:t xml:space="preserve">Property rights</w:t>
      </w: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 are theoretical socially-enforced constructs in </w:t>
      </w:r>
      <w:hyperlink r:id="rId6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economics</w:t>
        </w:r>
      </w:hyperlink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 for determining how a resource or economic good is used and </w:t>
      </w:r>
      <w:hyperlink r:id="rId7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owned</w:t>
        </w:r>
      </w:hyperlink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. Property rights can be viewed as an attribute of an economic good. This attribute has four broad components and is often referred to as a </w:t>
      </w:r>
      <w:hyperlink r:id="rId8">
        <w:r w:rsidDel="00000000" w:rsidR="00000000" w:rsidRPr="00000000">
          <w:rPr>
            <w:sz w:val="21"/>
            <w:szCs w:val="21"/>
            <w:highlight w:val="white"/>
            <w:rtl w:val="0"/>
          </w:rPr>
          <w:t xml:space="preserve">bundle </w:t>
        </w:r>
      </w:hyperlink>
      <w:hyperlink r:id="rId9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of rights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hd w:fill="ffffff" w:val="clear"/>
        <w:spacing w:after="0" w:afterAutospacing="0" w:before="120" w:line="480" w:lineRule="auto"/>
        <w:ind w:left="1420" w:hanging="360"/>
        <w:jc w:val="both"/>
        <w:rPr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the right to use the good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="480" w:lineRule="auto"/>
        <w:ind w:left="1420" w:hanging="360"/>
        <w:jc w:val="both"/>
        <w:rPr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the right to earn income from the good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="480" w:lineRule="auto"/>
        <w:ind w:left="1420" w:hanging="360"/>
        <w:jc w:val="both"/>
        <w:rPr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the right to transfer the good to others, alter it, abandon it, or destroy it (the right to ownership cessation)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hd w:fill="ffffff" w:val="clear"/>
        <w:spacing w:after="20" w:before="0" w:beforeAutospacing="0" w:line="480" w:lineRule="auto"/>
        <w:ind w:left="1420" w:hanging="360"/>
        <w:jc w:val="both"/>
        <w:rPr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the right to enforce property rights</w:t>
      </w:r>
    </w:p>
    <w:p w:rsidR="00000000" w:rsidDel="00000000" w:rsidP="00000000" w:rsidRDefault="00000000" w:rsidRPr="00000000" w14:paraId="0000000E">
      <w:pPr>
        <w:pageBreakBefore w:val="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Absolute Advantage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480" w:lineRule="auto"/>
        <w:rPr/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absolute</w:t>
      </w: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 advantage was developed by </w:t>
      </w:r>
      <w:hyperlink r:id="rId10">
        <w:r w:rsidDel="00000000" w:rsidR="00000000" w:rsidRPr="00000000">
          <w:rPr>
            <w:highlight w:val="white"/>
            <w:rtl w:val="0"/>
          </w:rPr>
          <w:t xml:space="preserve">Adam Smith</w:t>
        </w:r>
      </w:hyperlink>
      <w:r w:rsidDel="00000000" w:rsidR="00000000" w:rsidRPr="00000000">
        <w:rPr>
          <w:rtl w:val="0"/>
        </w:rPr>
        <w:t xml:space="preserve">. It </w:t>
      </w: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shows how countries can gain from trade by specializing in producing and exporting the goods that they can produce more efficiently than other countries.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Comparative Advantage</w:t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480" w:lineRule="auto"/>
        <w:rPr/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</w:t>
      </w: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 producer has a lower </w:t>
      </w:r>
      <w:hyperlink r:id="rId11">
        <w:r w:rsidDel="00000000" w:rsidR="00000000" w:rsidRPr="00000000">
          <w:rPr>
            <w:sz w:val="26"/>
            <w:szCs w:val="26"/>
            <w:highlight w:val="white"/>
            <w:rtl w:val="0"/>
          </w:rPr>
          <w:t xml:space="preserve">opportunity cost</w:t>
        </w:r>
      </w:hyperlink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 to produce a good or service than another producer.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Gains from trade</w:t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4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 </w:t>
      </w:r>
      <w:hyperlink r:id="rId12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economics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gains from trade are the net benefits to </w:t>
      </w:r>
      <w:hyperlink r:id="rId13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economic agents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from being allowed an increase in voluntary </w:t>
      </w:r>
      <w:hyperlink r:id="rId14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trading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with each other. In technical terms, they are the increase of </w:t>
      </w:r>
      <w:hyperlink r:id="rId15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consumer surplus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plus </w:t>
      </w:r>
      <w:hyperlink r:id="rId1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producer surplus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from lower </w:t>
      </w:r>
      <w:hyperlink r:id="rId17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tariffs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or otherwise </w:t>
      </w:r>
      <w:hyperlink r:id="rId18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liberalizing trade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spacing w:line="4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gains from trade are only based on comparative advantage, not on absolute advantage. A country or person can have an absolute advantage in both goods or activities, and yet still gain from trade by specializing in the good or activity in which it has a comparative advantage.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480" w:lineRule="auto"/>
        <w:jc w:val="both"/>
        <w:rPr>
          <w:color w:val="20212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02122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vestopedia.com/terms/o/opportunitycost.asp" TargetMode="External"/><Relationship Id="rId10" Type="http://schemas.openxmlformats.org/officeDocument/2006/relationships/hyperlink" Target="https://www.investopedia.com/updates/adam-smith-economics/" TargetMode="External"/><Relationship Id="rId13" Type="http://schemas.openxmlformats.org/officeDocument/2006/relationships/hyperlink" Target="https://en.wikipedia.org/wiki/Agent_(economics)" TargetMode="External"/><Relationship Id="rId12" Type="http://schemas.openxmlformats.org/officeDocument/2006/relationships/hyperlink" Target="https://en.wikipedia.org/wiki/Economic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Bundle_of_rights" TargetMode="External"/><Relationship Id="rId15" Type="http://schemas.openxmlformats.org/officeDocument/2006/relationships/hyperlink" Target="https://en.wikipedia.org/wiki/Consumer_surplus" TargetMode="External"/><Relationship Id="rId14" Type="http://schemas.openxmlformats.org/officeDocument/2006/relationships/hyperlink" Target="https://en.wikipedia.org/wiki/Trade" TargetMode="External"/><Relationship Id="rId17" Type="http://schemas.openxmlformats.org/officeDocument/2006/relationships/hyperlink" Target="https://en.wikipedia.org/wiki/Tariff" TargetMode="External"/><Relationship Id="rId16" Type="http://schemas.openxmlformats.org/officeDocument/2006/relationships/hyperlink" Target="https://en.wikipedia.org/wiki/Producer_surplus" TargetMode="External"/><Relationship Id="rId5" Type="http://schemas.openxmlformats.org/officeDocument/2006/relationships/styles" Target="styles.xml"/><Relationship Id="rId6" Type="http://schemas.openxmlformats.org/officeDocument/2006/relationships/hyperlink" Target="https://en.wikipedia.org/wiki/Economics" TargetMode="External"/><Relationship Id="rId18" Type="http://schemas.openxmlformats.org/officeDocument/2006/relationships/hyperlink" Target="https://en.wikipedia.org/wiki/Trade_liberalization" TargetMode="External"/><Relationship Id="rId7" Type="http://schemas.openxmlformats.org/officeDocument/2006/relationships/hyperlink" Target="https://en.wikipedia.org/wiki/Ownership" TargetMode="External"/><Relationship Id="rId8" Type="http://schemas.openxmlformats.org/officeDocument/2006/relationships/hyperlink" Target="https://en.wikipedia.org/wiki/Bundle_of_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